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jc w:val="center"/>
        <w:rPr>
          <w:sz w:val="21"/>
          <w:szCs w:val="21"/>
        </w:rPr>
      </w:pPr>
      <w:r>
        <w:rPr>
          <w:rFonts w:hint="eastAsia" w:ascii="宋体" w:hAnsi="宋体" w:eastAsia="宋体" w:cs="宋体"/>
          <w:b/>
          <w:sz w:val="28"/>
          <w:szCs w:val="28"/>
        </w:rPr>
        <w:t>《天上有颗“南仁东星”》教学方案</w:t>
      </w:r>
    </w:p>
    <w:p>
      <w:pPr>
        <w:pStyle w:val="2"/>
        <w:keepNext w:val="0"/>
        <w:keepLines w:val="0"/>
        <w:widowControl/>
        <w:suppressLineNumbers w:val="0"/>
      </w:pPr>
      <w:r>
        <w:rPr>
          <w:rFonts w:hint="eastAsia" w:ascii="宋体" w:hAnsi="宋体" w:eastAsia="宋体" w:cs="宋体"/>
          <w:b/>
          <w:bCs w:val="0"/>
          <w:sz w:val="24"/>
          <w:szCs w:val="24"/>
        </w:rPr>
        <w:t>1课时</w:t>
      </w:r>
    </w:p>
    <w:p>
      <w:pPr>
        <w:pStyle w:val="2"/>
        <w:keepNext w:val="0"/>
        <w:keepLines w:val="0"/>
        <w:widowControl/>
        <w:suppressLineNumbers w:val="0"/>
      </w:pPr>
      <w:r>
        <w:rPr>
          <w:rFonts w:hint="eastAsia" w:ascii="宋体" w:hAnsi="宋体" w:eastAsia="宋体" w:cs="宋体"/>
          <w:b/>
          <w:bCs w:val="0"/>
          <w:color w:val="C00000"/>
          <w:sz w:val="24"/>
          <w:szCs w:val="24"/>
        </w:rPr>
        <w:t>【教学目标】</w:t>
      </w:r>
      <w:bookmarkStart w:id="0" w:name="_GoBack"/>
      <w:bookmarkEnd w:id="0"/>
    </w:p>
    <w:p>
      <w:pPr>
        <w:pStyle w:val="2"/>
        <w:keepNext w:val="0"/>
        <w:keepLines w:val="0"/>
        <w:widowControl/>
        <w:suppressLineNumbers w:val="0"/>
      </w:pPr>
      <w:r>
        <w:rPr>
          <w:rFonts w:hint="eastAsia" w:ascii="宋体" w:hAnsi="宋体" w:eastAsia="宋体" w:cs="宋体"/>
        </w:rPr>
        <w:t>1.梳理南仁东的人生经历，把握人物传记“真实性”的特点。</w:t>
      </w:r>
    </w:p>
    <w:p>
      <w:pPr>
        <w:pStyle w:val="2"/>
        <w:keepNext w:val="0"/>
        <w:keepLines w:val="0"/>
        <w:widowControl/>
        <w:suppressLineNumbers w:val="0"/>
      </w:pPr>
      <w:r>
        <w:rPr>
          <w:rFonts w:hint="eastAsia" w:ascii="宋体" w:hAnsi="宋体" w:eastAsia="宋体" w:cs="宋体"/>
        </w:rPr>
        <w:t>2.多角度分析人物形象，体会人物传记“生动性”的特点。</w:t>
      </w:r>
    </w:p>
    <w:p>
      <w:pPr>
        <w:pStyle w:val="2"/>
        <w:keepNext w:val="0"/>
        <w:keepLines w:val="0"/>
        <w:widowControl/>
        <w:suppressLineNumbers w:val="0"/>
      </w:pPr>
      <w:r>
        <w:rPr>
          <w:rFonts w:hint="eastAsia" w:ascii="宋体" w:hAnsi="宋体" w:eastAsia="宋体" w:cs="宋体"/>
        </w:rPr>
        <w:t>3.传承和弘扬南仁东的精神品质，领悟人物传记的文化内涵。</w:t>
      </w:r>
    </w:p>
    <w:p>
      <w:pPr>
        <w:pStyle w:val="2"/>
        <w:keepNext w:val="0"/>
        <w:keepLines w:val="0"/>
        <w:widowControl/>
        <w:suppressLineNumbers w:val="0"/>
      </w:pPr>
      <w:r>
        <w:rPr>
          <w:rFonts w:hint="eastAsia" w:ascii="宋体" w:hAnsi="宋体" w:eastAsia="宋体" w:cs="宋体"/>
          <w:b/>
          <w:bCs w:val="0"/>
          <w:color w:val="C00000"/>
          <w:sz w:val="24"/>
          <w:szCs w:val="24"/>
        </w:rPr>
        <w:t>【教学重点】</w:t>
      </w:r>
    </w:p>
    <w:p>
      <w:pPr>
        <w:pStyle w:val="2"/>
        <w:keepNext w:val="0"/>
        <w:keepLines w:val="0"/>
        <w:widowControl/>
        <w:suppressLineNumbers w:val="0"/>
      </w:pPr>
      <w:r>
        <w:rPr>
          <w:rFonts w:hint="eastAsia" w:ascii="宋体" w:hAnsi="宋体" w:eastAsia="宋体" w:cs="宋体"/>
        </w:rPr>
        <w:t>1.梳理南仁东的人生经历，把握人物传记“真实性”的特点。</w:t>
      </w:r>
    </w:p>
    <w:p>
      <w:pPr>
        <w:pStyle w:val="2"/>
        <w:keepNext w:val="0"/>
        <w:keepLines w:val="0"/>
        <w:widowControl/>
        <w:suppressLineNumbers w:val="0"/>
      </w:pPr>
      <w:r>
        <w:rPr>
          <w:rFonts w:hint="eastAsia" w:ascii="宋体" w:hAnsi="宋体" w:eastAsia="宋体" w:cs="宋体"/>
        </w:rPr>
        <w:t>2.多角度分析人物形象，体会人物传记“生动性”的特点。</w:t>
      </w:r>
    </w:p>
    <w:p>
      <w:pPr>
        <w:pStyle w:val="2"/>
        <w:keepNext w:val="0"/>
        <w:keepLines w:val="0"/>
        <w:widowControl/>
        <w:suppressLineNumbers w:val="0"/>
      </w:pPr>
      <w:r>
        <w:rPr>
          <w:rFonts w:hint="eastAsia" w:ascii="宋体" w:hAnsi="宋体" w:eastAsia="宋体" w:cs="宋体"/>
          <w:b/>
          <w:bCs w:val="0"/>
          <w:color w:val="C00000"/>
          <w:sz w:val="24"/>
          <w:szCs w:val="24"/>
        </w:rPr>
        <w:t>【教学难点】</w:t>
      </w:r>
    </w:p>
    <w:p>
      <w:pPr>
        <w:pStyle w:val="2"/>
        <w:keepNext w:val="0"/>
        <w:keepLines w:val="0"/>
        <w:widowControl/>
        <w:suppressLineNumbers w:val="0"/>
      </w:pPr>
      <w:r>
        <w:rPr>
          <w:rFonts w:hint="eastAsia" w:ascii="宋体" w:hAnsi="宋体" w:eastAsia="宋体" w:cs="宋体"/>
        </w:rPr>
        <w:t>传承和弘扬南仁东的精神品质，领悟人物传记的文化内涵。</w:t>
      </w:r>
    </w:p>
    <w:p>
      <w:pPr>
        <w:pStyle w:val="2"/>
        <w:keepNext w:val="0"/>
        <w:keepLines w:val="0"/>
        <w:widowControl/>
        <w:suppressLineNumbers w:val="0"/>
      </w:pPr>
      <w:r>
        <w:rPr>
          <w:rFonts w:hint="eastAsia" w:ascii="宋体" w:hAnsi="宋体" w:eastAsia="宋体" w:cs="宋体"/>
          <w:b/>
          <w:bCs w:val="0"/>
          <w:color w:val="C00000"/>
          <w:sz w:val="24"/>
          <w:szCs w:val="24"/>
        </w:rPr>
        <w:t>【教学过程】</w:t>
      </w:r>
    </w:p>
    <w:p>
      <w:pPr>
        <w:pStyle w:val="2"/>
        <w:keepNext w:val="0"/>
        <w:keepLines w:val="0"/>
        <w:widowControl/>
        <w:suppressLineNumbers w:val="0"/>
      </w:pPr>
      <w:r>
        <w:rPr>
          <w:rFonts w:hint="eastAsia" w:ascii="宋体" w:hAnsi="宋体" w:eastAsia="宋体" w:cs="宋体"/>
          <w:b/>
          <w:bCs w:val="0"/>
          <w:color w:val="000000"/>
          <w:sz w:val="22"/>
          <w:szCs w:val="22"/>
        </w:rPr>
        <w:t>一、新课导入</w:t>
      </w:r>
    </w:p>
    <w:p>
      <w:pPr>
        <w:pStyle w:val="2"/>
        <w:keepNext w:val="0"/>
        <w:keepLines w:val="0"/>
        <w:widowControl/>
        <w:suppressLineNumbers w:val="0"/>
      </w:pPr>
      <w:r>
        <w:rPr>
          <w:rFonts w:hint="eastAsia" w:ascii="宋体" w:hAnsi="宋体" w:eastAsia="宋体" w:cs="宋体"/>
        </w:rPr>
        <w:t>同学们，你们知道“中国天眼”吗？它是我国自主建造的500米口径球面射电望远镜，位于贵州省平塘县克度镇，由南仁东于1994年提出构想，2016年9月25日落成启用。它是目前世界上最灵敏的、最大单口径射电望远镜，可以捕获宇宙中的射电信号等，是当之无愧的国之重器。今天就让我们一起走近“天眼之父”南仁东，了解他的事迹，致敬科学精神。</w:t>
      </w:r>
    </w:p>
    <w:p>
      <w:pPr>
        <w:pStyle w:val="2"/>
        <w:keepNext w:val="0"/>
        <w:keepLines w:val="0"/>
        <w:widowControl/>
        <w:suppressLineNumbers w:val="0"/>
      </w:pPr>
      <w:r>
        <w:rPr>
          <w:rFonts w:hint="eastAsia" w:ascii="宋体" w:hAnsi="宋体" w:eastAsia="宋体" w:cs="宋体"/>
          <w:b/>
          <w:bCs w:val="0"/>
        </w:rPr>
        <w:t>设计意图：</w:t>
      </w:r>
      <w:r>
        <w:rPr>
          <w:rFonts w:hint="eastAsia" w:ascii="宋体" w:hAnsi="宋体" w:eastAsia="宋体" w:cs="宋体"/>
        </w:rPr>
        <w:t>设疑导入，引发学生的好奇心和求知欲，自然地引出课文内容，为课堂学习营造良好的氛围。</w:t>
      </w:r>
    </w:p>
    <w:p>
      <w:pPr>
        <w:pStyle w:val="2"/>
        <w:keepNext w:val="0"/>
        <w:keepLines w:val="0"/>
        <w:widowControl/>
        <w:suppressLineNumbers w:val="0"/>
      </w:pPr>
      <w:r>
        <w:rPr>
          <w:rFonts w:hint="eastAsia" w:ascii="宋体" w:hAnsi="宋体" w:eastAsia="宋体" w:cs="宋体"/>
          <w:b/>
          <w:bCs w:val="0"/>
          <w:color w:val="000000"/>
          <w:sz w:val="22"/>
          <w:szCs w:val="22"/>
        </w:rPr>
        <w:t>二、夯实基础</w:t>
      </w:r>
    </w:p>
    <w:p>
      <w:pPr>
        <w:pStyle w:val="2"/>
        <w:keepNext w:val="0"/>
        <w:keepLines w:val="0"/>
        <w:widowControl/>
        <w:suppressLineNumbers w:val="0"/>
      </w:pPr>
      <w:r>
        <w:rPr>
          <w:rFonts w:hint="eastAsia" w:ascii="宋体" w:hAnsi="宋体" w:eastAsia="宋体" w:cs="宋体"/>
          <w:b/>
          <w:bCs w:val="0"/>
        </w:rPr>
        <w:t>1</w:t>
      </w:r>
      <w:r>
        <w:rPr>
          <w:b/>
          <w:bCs w:val="0"/>
        </w:rPr>
        <w:t>.</w:t>
      </w:r>
      <w:r>
        <w:rPr>
          <w:rFonts w:hint="eastAsia" w:ascii="宋体" w:hAnsi="宋体" w:eastAsia="宋体" w:cs="宋体"/>
          <w:b/>
          <w:bCs w:val="0"/>
        </w:rPr>
        <w:t>作者简介</w:t>
      </w:r>
    </w:p>
    <w:p>
      <w:pPr>
        <w:pStyle w:val="2"/>
        <w:keepNext w:val="0"/>
        <w:keepLines w:val="0"/>
        <w:widowControl/>
        <w:suppressLineNumbers w:val="0"/>
      </w:pPr>
      <w:r>
        <w:rPr>
          <w:rFonts w:hint="eastAsia" w:ascii="宋体" w:hAnsi="宋体" w:eastAsia="宋体" w:cs="宋体"/>
        </w:rPr>
        <w:t>王宏甲，福建建阳人，当代文学家、著名学者。中国作家协会报告文学委员会副主任，中国报告文学学会第四届理事会副会长。2004年首批入选全国宣传文化系统“四个一批”人才。作品曾获中宣部“五个一工程”奖、鲁迅文学奖、冰心散文奖、中国图书奖、解放军全军新作品一等奖等。</w:t>
      </w:r>
    </w:p>
    <w:p>
      <w:pPr>
        <w:pStyle w:val="2"/>
        <w:keepNext w:val="0"/>
        <w:keepLines w:val="0"/>
        <w:widowControl/>
        <w:suppressLineNumbers w:val="0"/>
      </w:pPr>
      <w:r>
        <w:rPr>
          <w:rFonts w:hint="eastAsia" w:ascii="宋体" w:hAnsi="宋体" w:eastAsia="宋体" w:cs="宋体"/>
        </w:rPr>
        <w:t>代表作有《中国天眼：南仁东传》《让自已诞生》《塘约道路》等。</w:t>
      </w:r>
    </w:p>
    <w:p>
      <w:pPr>
        <w:pStyle w:val="2"/>
        <w:keepNext w:val="0"/>
        <w:keepLines w:val="0"/>
        <w:widowControl/>
        <w:suppressLineNumbers w:val="0"/>
      </w:pPr>
      <w:r>
        <w:rPr>
          <w:rFonts w:hint="eastAsia" w:ascii="宋体" w:hAnsi="宋体" w:eastAsia="宋体" w:cs="宋体"/>
          <w:b/>
          <w:bCs w:val="0"/>
        </w:rPr>
        <w:t>2.人物简介</w:t>
      </w:r>
    </w:p>
    <w:p>
      <w:pPr>
        <w:pStyle w:val="2"/>
        <w:keepNext w:val="0"/>
        <w:keepLines w:val="0"/>
        <w:widowControl/>
        <w:suppressLineNumbers w:val="0"/>
      </w:pPr>
      <w:r>
        <w:rPr>
          <w:rFonts w:hint="eastAsia" w:ascii="宋体" w:hAnsi="宋体" w:eastAsia="宋体" w:cs="宋体"/>
        </w:rPr>
        <w:t>南仁东（1945—2017），吉林辽源人，满族，天文学家。曾任国家重大科技基础设施500米口径球面射电望远镜（FAST，被誉为“中国天眼”）工程首席科学家兼总工程师。2019年9月17日，国家主席习近平签署主席令，授予南仁东“人民科学家”国家荣誉称号。</w:t>
      </w:r>
    </w:p>
    <w:p>
      <w:pPr>
        <w:pStyle w:val="2"/>
        <w:keepNext w:val="0"/>
        <w:keepLines w:val="0"/>
        <w:widowControl/>
        <w:suppressLineNumbers w:val="0"/>
      </w:pPr>
      <w:r>
        <w:rPr>
          <w:rFonts w:hint="eastAsia" w:ascii="宋体" w:hAnsi="宋体" w:eastAsia="宋体" w:cs="宋体"/>
          <w:b/>
          <w:bCs w:val="0"/>
        </w:rPr>
        <w:t>3</w:t>
      </w:r>
      <w:r>
        <w:rPr>
          <w:b/>
          <w:bCs w:val="0"/>
        </w:rPr>
        <w:t>.</w:t>
      </w:r>
      <w:r>
        <w:rPr>
          <w:rFonts w:hint="eastAsia" w:ascii="宋体" w:hAnsi="宋体" w:eastAsia="宋体" w:cs="宋体"/>
          <w:b/>
          <w:bCs w:val="0"/>
        </w:rPr>
        <w:t>写作背景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ind w:left="0" w:right="0"/>
      </w:pPr>
      <w:r>
        <w:rPr>
          <w:rFonts w:hint="eastAsia" w:ascii="宋体" w:hAnsi="宋体" w:eastAsia="宋体" w:cs="宋体"/>
          <w:sz w:val="21"/>
          <w:szCs w:val="21"/>
          <w:bdr w:val="none" w:color="auto" w:sz="0" w:space="0"/>
          <w:shd w:val="clear" w:fill="FFFFFF"/>
        </w:rPr>
        <w:t>科学家南仁东在2017年9月15日因病逝世，享年72岁，2017年11月17日中宣部向全社会发布南仁东先进事迹，追授他为时代楷模荣誉称号。中国作家协会报告文学委员会副主任、中国报告文学学会副会长王宏甲接到创作一部反映南仁东生平事迹的长篇报告文学的任务。他深入南仁东生活、学习、工作过的地方进行采访，掌握了大量第一手资料，创作了《中国天眼：南仁东传》，旨在通过梳理和回顾南仁东的一生，特别是他经过多年奋斗建成“中国天眼”的光荣事迹，来诠释知识分子的责任与担当。本文由作者根据自己的《中国天眼：南仁东传》相关章节改写而成。</w:t>
      </w:r>
    </w:p>
    <w:p>
      <w:pPr>
        <w:pStyle w:val="2"/>
        <w:keepNext w:val="0"/>
        <w:keepLines w:val="0"/>
        <w:widowControl/>
        <w:suppressLineNumbers w:val="0"/>
      </w:pPr>
      <w:r>
        <w:rPr>
          <w:rFonts w:hint="default" w:ascii="Times New Roman" w:hAnsi="Times New Roman" w:eastAsia="宋体" w:cs="Times New Roman"/>
          <w:b/>
          <w:sz w:val="21"/>
          <w:szCs w:val="21"/>
        </w:rPr>
        <w:t>4.</w:t>
      </w:r>
      <w:r>
        <w:rPr>
          <w:rFonts w:hint="eastAsia" w:ascii="宋体" w:hAnsi="宋体" w:eastAsia="宋体" w:cs="宋体"/>
          <w:b/>
          <w:sz w:val="21"/>
          <w:szCs w:val="21"/>
        </w:rPr>
        <w:t>字词正音</w:t>
      </w:r>
    </w:p>
    <w:p>
      <w:pPr>
        <w:pStyle w:val="2"/>
        <w:keepNext w:val="0"/>
        <w:keepLines w:val="0"/>
        <w:widowControl/>
        <w:suppressLineNumbers w:val="0"/>
      </w:pPr>
      <w:r>
        <w:rPr>
          <w:rFonts w:hint="eastAsia" w:ascii="宋体" w:hAnsi="宋体" w:eastAsia="宋体" w:cs="宋体"/>
          <w:i w:val="0"/>
          <w:caps w:val="0"/>
          <w:spacing w:val="6"/>
          <w:sz w:val="21"/>
          <w:szCs w:val="21"/>
          <w:shd w:val="clear" w:fill="FFFFFF"/>
        </w:rPr>
        <w:t>潜</w:t>
      </w:r>
      <w:r>
        <w:rPr>
          <w:rFonts w:hint="eastAsia" w:ascii="宋体" w:hAnsi="宋体" w:eastAsia="宋体" w:cs="宋体"/>
        </w:rPr>
        <w:t>（</w:t>
      </w:r>
      <w:r>
        <w:rPr>
          <w:rFonts w:ascii="方正姚体" w:hAnsi="方正姚体" w:eastAsia="方正姚体" w:cs="方正姚体"/>
        </w:rPr>
        <w:t>qián</w:t>
      </w:r>
      <w:r>
        <w:rPr>
          <w:rFonts w:hint="eastAsia" w:ascii="宋体" w:hAnsi="宋体" w:eastAsia="宋体" w:cs="宋体"/>
        </w:rPr>
        <w:t>）质</w:t>
      </w:r>
      <w:r>
        <w:t>    </w:t>
      </w:r>
      <w:r>
        <w:rPr>
          <w:rFonts w:hint="eastAsia" w:ascii="宋体" w:hAnsi="宋体" w:eastAsia="宋体" w:cs="宋体"/>
          <w:i w:val="0"/>
          <w:caps w:val="0"/>
          <w:spacing w:val="6"/>
          <w:sz w:val="21"/>
          <w:szCs w:val="21"/>
          <w:shd w:val="clear" w:fill="FFFFFF"/>
        </w:rPr>
        <w:t>尴尬</w:t>
      </w:r>
      <w:r>
        <w:rPr>
          <w:rFonts w:hint="eastAsia" w:ascii="宋体" w:hAnsi="宋体" w:eastAsia="宋体" w:cs="宋体"/>
        </w:rPr>
        <w:t>（</w:t>
      </w:r>
      <w:r>
        <w:rPr>
          <w:rFonts w:hint="default" w:ascii="方正姚体" w:hAnsi="方正姚体" w:eastAsia="方正姚体" w:cs="方正姚体"/>
        </w:rPr>
        <w:t>ɡān ɡà</w:t>
      </w:r>
      <w:r>
        <w:rPr>
          <w:rFonts w:hint="eastAsia" w:ascii="宋体" w:hAnsi="宋体" w:eastAsia="宋体" w:cs="宋体"/>
        </w:rPr>
        <w:t>）</w:t>
      </w:r>
      <w:r>
        <w:t>    </w:t>
      </w:r>
      <w:r>
        <w:rPr>
          <w:rFonts w:hint="eastAsia" w:ascii="宋体" w:hAnsi="宋体" w:eastAsia="宋体" w:cs="宋体"/>
          <w:i w:val="0"/>
          <w:caps w:val="0"/>
          <w:spacing w:val="6"/>
          <w:sz w:val="21"/>
          <w:szCs w:val="21"/>
          <w:shd w:val="clear" w:fill="FFFFFF"/>
        </w:rPr>
        <w:t>筛</w:t>
      </w:r>
      <w:r>
        <w:rPr>
          <w:rFonts w:hint="eastAsia" w:ascii="宋体" w:hAnsi="宋体" w:eastAsia="宋体" w:cs="宋体"/>
        </w:rPr>
        <w:t>（</w:t>
      </w:r>
      <w:r>
        <w:rPr>
          <w:rFonts w:hint="default" w:ascii="方正姚体" w:hAnsi="方正姚体" w:eastAsia="方正姚体" w:cs="方正姚体"/>
        </w:rPr>
        <w:t>shāi</w:t>
      </w:r>
      <w:r>
        <w:rPr>
          <w:rFonts w:hint="eastAsia" w:ascii="宋体" w:hAnsi="宋体" w:eastAsia="宋体" w:cs="宋体"/>
        </w:rPr>
        <w:t>）选</w:t>
      </w:r>
      <w:r>
        <w:t>    </w:t>
      </w:r>
      <w:r>
        <w:rPr>
          <w:rFonts w:hint="eastAsia" w:ascii="宋体" w:hAnsi="宋体" w:eastAsia="宋体" w:cs="宋体"/>
          <w:i w:val="0"/>
          <w:caps w:val="0"/>
          <w:spacing w:val="6"/>
          <w:sz w:val="21"/>
          <w:szCs w:val="21"/>
          <w:shd w:val="clear" w:fill="FFFFFF"/>
        </w:rPr>
        <w:t>篝</w:t>
      </w:r>
      <w:r>
        <w:rPr>
          <w:rFonts w:hint="eastAsia" w:ascii="宋体" w:hAnsi="宋体" w:eastAsia="宋体" w:cs="宋体"/>
        </w:rPr>
        <w:t>（</w:t>
      </w:r>
      <w:r>
        <w:rPr>
          <w:rFonts w:hint="default" w:ascii="方正姚体" w:hAnsi="方正姚体" w:eastAsia="方正姚体" w:cs="方正姚体"/>
        </w:rPr>
        <w:t>ɡōu</w:t>
      </w:r>
      <w:r>
        <w:rPr>
          <w:rFonts w:hint="eastAsia" w:ascii="宋体" w:hAnsi="宋体" w:eastAsia="宋体" w:cs="宋体"/>
        </w:rPr>
        <w:t>）火</w:t>
      </w:r>
      <w:r>
        <w:t>    </w:t>
      </w:r>
    </w:p>
    <w:p>
      <w:pPr>
        <w:pStyle w:val="2"/>
        <w:keepNext w:val="0"/>
        <w:keepLines w:val="0"/>
        <w:widowControl/>
        <w:suppressLineNumbers w:val="0"/>
      </w:pPr>
      <w:r>
        <w:rPr>
          <w:rFonts w:hint="eastAsia" w:ascii="宋体" w:hAnsi="宋体" w:eastAsia="宋体" w:cs="宋体"/>
        </w:rPr>
        <w:t>目</w:t>
      </w:r>
      <w:r>
        <w:rPr>
          <w:rFonts w:hint="eastAsia" w:ascii="宋体" w:hAnsi="宋体" w:eastAsia="宋体" w:cs="宋体"/>
          <w:i w:val="0"/>
          <w:caps w:val="0"/>
          <w:spacing w:val="6"/>
          <w:sz w:val="21"/>
          <w:szCs w:val="21"/>
          <w:shd w:val="clear" w:fill="FFFFFF"/>
        </w:rPr>
        <w:t>睹</w:t>
      </w:r>
      <w:r>
        <w:rPr>
          <w:rFonts w:hint="eastAsia" w:ascii="宋体" w:hAnsi="宋体" w:eastAsia="宋体" w:cs="宋体"/>
        </w:rPr>
        <w:t>（</w:t>
      </w:r>
      <w:r>
        <w:rPr>
          <w:rFonts w:hint="default" w:ascii="方正姚体" w:hAnsi="方正姚体" w:eastAsia="方正姚体" w:cs="方正姚体"/>
        </w:rPr>
        <w:t>dǔ</w:t>
      </w:r>
      <w:r>
        <w:rPr>
          <w:rFonts w:hint="eastAsia" w:ascii="宋体" w:hAnsi="宋体" w:eastAsia="宋体" w:cs="宋体"/>
        </w:rPr>
        <w:t>）</w:t>
      </w:r>
      <w:r>
        <w:t>    </w:t>
      </w:r>
      <w:r>
        <w:rPr>
          <w:rFonts w:hint="eastAsia" w:ascii="宋体" w:hAnsi="宋体" w:eastAsia="宋体" w:cs="宋体"/>
        </w:rPr>
        <w:t>严丝合</w:t>
      </w:r>
      <w:r>
        <w:rPr>
          <w:rFonts w:hint="eastAsia" w:ascii="宋体" w:hAnsi="宋体" w:eastAsia="宋体" w:cs="宋体"/>
          <w:i w:val="0"/>
          <w:caps w:val="0"/>
          <w:spacing w:val="6"/>
          <w:sz w:val="21"/>
          <w:szCs w:val="21"/>
          <w:shd w:val="clear" w:fill="FFFFFF"/>
        </w:rPr>
        <w:t>缝</w:t>
      </w:r>
      <w:r>
        <w:rPr>
          <w:rFonts w:hint="eastAsia" w:ascii="宋体" w:hAnsi="宋体" w:eastAsia="宋体" w:cs="宋体"/>
        </w:rPr>
        <w:t>（</w:t>
      </w:r>
      <w:r>
        <w:rPr>
          <w:rFonts w:hint="default" w:ascii="方正姚体" w:hAnsi="方正姚体" w:eastAsia="方正姚体" w:cs="方正姚体"/>
        </w:rPr>
        <w:t>fènɡ</w:t>
      </w:r>
      <w:r>
        <w:rPr>
          <w:rFonts w:hint="eastAsia" w:ascii="宋体" w:hAnsi="宋体" w:eastAsia="宋体" w:cs="宋体"/>
        </w:rPr>
        <w:t>）</w:t>
      </w:r>
      <w:r>
        <w:t>    </w:t>
      </w:r>
      <w:r>
        <w:rPr>
          <w:rFonts w:hint="eastAsia" w:ascii="宋体" w:hAnsi="宋体" w:eastAsia="宋体" w:cs="宋体"/>
          <w:i w:val="0"/>
          <w:caps w:val="0"/>
          <w:spacing w:val="6"/>
          <w:sz w:val="21"/>
          <w:szCs w:val="21"/>
          <w:shd w:val="clear" w:fill="FFFFFF"/>
        </w:rPr>
        <w:t>瞠</w:t>
      </w:r>
      <w:r>
        <w:rPr>
          <w:rFonts w:hint="eastAsia" w:ascii="宋体" w:hAnsi="宋体" w:eastAsia="宋体" w:cs="宋体"/>
        </w:rPr>
        <w:t>（</w:t>
      </w:r>
      <w:r>
        <w:rPr>
          <w:rFonts w:hint="default" w:ascii="方正姚体" w:hAnsi="方正姚体" w:eastAsia="方正姚体" w:cs="方正姚体"/>
        </w:rPr>
        <w:t>chēnɡ</w:t>
      </w:r>
      <w:r>
        <w:rPr>
          <w:rFonts w:hint="eastAsia" w:ascii="宋体" w:hAnsi="宋体" w:eastAsia="宋体" w:cs="宋体"/>
        </w:rPr>
        <w:t>）目结舌</w:t>
      </w:r>
      <w:r>
        <w:t>    </w:t>
      </w:r>
    </w:p>
    <w:p>
      <w:pPr>
        <w:pStyle w:val="2"/>
        <w:keepNext w:val="0"/>
        <w:keepLines w:val="0"/>
        <w:widowControl/>
        <w:suppressLineNumbers w:val="0"/>
      </w:pPr>
      <w:r>
        <w:rPr>
          <w:rFonts w:hint="eastAsia" w:ascii="宋体" w:hAnsi="宋体" w:eastAsia="宋体" w:cs="宋体"/>
        </w:rPr>
        <w:t>热泪盈</w:t>
      </w:r>
      <w:r>
        <w:rPr>
          <w:rFonts w:hint="eastAsia" w:ascii="宋体" w:hAnsi="宋体" w:eastAsia="宋体" w:cs="宋体"/>
          <w:i w:val="0"/>
          <w:caps w:val="0"/>
          <w:spacing w:val="6"/>
          <w:sz w:val="21"/>
          <w:szCs w:val="21"/>
          <w:shd w:val="clear" w:fill="FFFFFF"/>
        </w:rPr>
        <w:t>眶</w:t>
      </w:r>
      <w:r>
        <w:rPr>
          <w:rFonts w:hint="eastAsia" w:ascii="宋体" w:hAnsi="宋体" w:eastAsia="宋体" w:cs="宋体"/>
        </w:rPr>
        <w:t>（</w:t>
      </w:r>
      <w:r>
        <w:rPr>
          <w:rFonts w:hint="default" w:ascii="方正姚体" w:hAnsi="方正姚体" w:eastAsia="方正姚体" w:cs="方正姚体"/>
        </w:rPr>
        <w:t>kuànɡ</w:t>
      </w:r>
      <w:r>
        <w:rPr>
          <w:rFonts w:hint="eastAsia" w:ascii="宋体" w:hAnsi="宋体" w:eastAsia="宋体" w:cs="宋体"/>
        </w:rPr>
        <w:t>）</w:t>
      </w:r>
      <w:r>
        <w:t>  </w:t>
      </w:r>
      <w:r>
        <w:rPr>
          <w:rFonts w:hint="eastAsia" w:ascii="宋体" w:hAnsi="宋体" w:eastAsia="宋体" w:cs="宋体"/>
        </w:rPr>
        <w:t>一</w:t>
      </w:r>
      <w:r>
        <w:rPr>
          <w:rFonts w:hint="eastAsia" w:ascii="宋体" w:hAnsi="宋体" w:eastAsia="宋体" w:cs="宋体"/>
          <w:i w:val="0"/>
          <w:caps w:val="0"/>
          <w:spacing w:val="6"/>
          <w:sz w:val="21"/>
          <w:szCs w:val="21"/>
          <w:shd w:val="clear" w:fill="FFFFFF"/>
        </w:rPr>
        <w:t>览</w:t>
      </w:r>
      <w:r>
        <w:rPr>
          <w:rFonts w:hint="eastAsia" w:ascii="宋体" w:hAnsi="宋体" w:eastAsia="宋体" w:cs="宋体"/>
        </w:rPr>
        <w:t>（</w:t>
      </w:r>
      <w:r>
        <w:rPr>
          <w:rFonts w:hint="default" w:ascii="方正姚体" w:hAnsi="方正姚体" w:eastAsia="方正姚体" w:cs="方正姚体"/>
        </w:rPr>
        <w:t>lǎn</w:t>
      </w:r>
      <w:r>
        <w:rPr>
          <w:rFonts w:hint="eastAsia" w:ascii="宋体" w:hAnsi="宋体" w:eastAsia="宋体" w:cs="宋体"/>
        </w:rPr>
        <w:t>）无余</w:t>
      </w:r>
      <w:r>
        <w:t>     </w:t>
      </w:r>
      <w:r>
        <w:rPr>
          <w:rFonts w:hint="eastAsia" w:ascii="宋体" w:hAnsi="宋体" w:eastAsia="宋体" w:cs="宋体"/>
        </w:rPr>
        <w:t>朝气</w:t>
      </w:r>
      <w:r>
        <w:rPr>
          <w:rFonts w:hint="eastAsia" w:ascii="宋体" w:hAnsi="宋体" w:eastAsia="宋体" w:cs="宋体"/>
          <w:i w:val="0"/>
          <w:caps w:val="0"/>
          <w:spacing w:val="6"/>
          <w:sz w:val="21"/>
          <w:szCs w:val="21"/>
          <w:shd w:val="clear" w:fill="FFFFFF"/>
        </w:rPr>
        <w:t>蓬勃</w:t>
      </w:r>
      <w:r>
        <w:rPr>
          <w:rFonts w:hint="eastAsia" w:ascii="宋体" w:hAnsi="宋体" w:eastAsia="宋体" w:cs="宋体"/>
        </w:rPr>
        <w:t>（</w:t>
      </w:r>
      <w:r>
        <w:rPr>
          <w:rFonts w:hint="default" w:ascii="方正姚体" w:hAnsi="方正姚体" w:eastAsia="方正姚体" w:cs="方正姚体"/>
        </w:rPr>
        <w:t>pénɡ bó</w:t>
      </w:r>
      <w:r>
        <w:rPr>
          <w:rFonts w:hint="eastAsia" w:ascii="宋体" w:hAnsi="宋体" w:eastAsia="宋体" w:cs="宋体"/>
        </w:rPr>
        <w:t>）</w:t>
      </w:r>
    </w:p>
    <w:p>
      <w:pPr>
        <w:pStyle w:val="2"/>
        <w:keepNext w:val="0"/>
        <w:keepLines w:val="0"/>
        <w:widowControl/>
        <w:suppressLineNumbers w:val="0"/>
      </w:pPr>
      <w:r>
        <w:rPr>
          <w:rFonts w:hint="eastAsia" w:ascii="宋体" w:hAnsi="宋体" w:eastAsia="宋体" w:cs="宋体"/>
          <w:b/>
          <w:bCs w:val="0"/>
        </w:rPr>
        <w:t>三、课堂活动</w:t>
      </w:r>
    </w:p>
    <w:p>
      <w:pPr>
        <w:pStyle w:val="2"/>
        <w:keepNext w:val="0"/>
        <w:keepLines w:val="0"/>
        <w:widowControl/>
        <w:suppressLineNumbers w:val="0"/>
      </w:pPr>
      <w:r>
        <w:rPr>
          <w:rFonts w:hint="eastAsia" w:ascii="宋体" w:hAnsi="宋体" w:eastAsia="宋体" w:cs="宋体"/>
          <w:b/>
        </w:rPr>
        <w:t>（一）活动任务一</w:t>
      </w:r>
    </w:p>
    <w:p>
      <w:pPr>
        <w:pStyle w:val="2"/>
        <w:keepNext w:val="0"/>
        <w:keepLines w:val="0"/>
        <w:widowControl/>
        <w:suppressLineNumbers w:val="0"/>
      </w:pPr>
      <w:r>
        <w:rPr>
          <w:rFonts w:hint="eastAsia" w:ascii="宋体" w:hAnsi="宋体" w:eastAsia="宋体" w:cs="宋体"/>
        </w:rPr>
        <w:t>（1）默读课文，并用一句话概括文章内容。</w:t>
      </w:r>
    </w:p>
    <w:p>
      <w:pPr>
        <w:pStyle w:val="2"/>
        <w:keepNext w:val="0"/>
        <w:keepLines w:val="0"/>
        <w:widowControl/>
        <w:suppressLineNumbers w:val="0"/>
      </w:pPr>
      <w:r>
        <w:rPr>
          <w:rFonts w:hint="eastAsia" w:ascii="宋体" w:hAnsi="宋体" w:eastAsia="宋体" w:cs="宋体"/>
          <w:sz w:val="21"/>
          <w:szCs w:val="21"/>
        </w:rPr>
        <w:t>明确：</w:t>
      </w:r>
      <w:r>
        <w:rPr>
          <w:rFonts w:hint="eastAsia" w:ascii="宋体" w:hAnsi="宋体" w:eastAsia="宋体" w:cs="宋体"/>
        </w:rPr>
        <w:t>本文主要叙述了“中国天眼”的主要发起者和奠基人南仁东从少年求学、青年工作，到主持的伟大工程正式落成启用的经历，着重展现他为“中国天眼”建成付出的巨大努力。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ind w:left="0" w:right="0"/>
      </w:pPr>
      <w:r>
        <w:rPr>
          <w:rFonts w:hint="eastAsia" w:ascii="宋体" w:hAnsi="宋体" w:eastAsia="宋体" w:cs="宋体"/>
          <w:color w:val="000000"/>
          <w:sz w:val="21"/>
          <w:szCs w:val="21"/>
          <w:bdr w:val="none" w:color="auto" w:sz="0" w:space="0"/>
          <w:shd w:val="clear" w:fill="FFFFFF"/>
        </w:rPr>
        <w:t>（2）结合全文分析，从“看星星”的往事写起，有什么用意？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ind w:left="0" w:right="0"/>
      </w:pPr>
      <w:r>
        <w:rPr>
          <w:rFonts w:hint="eastAsia" w:ascii="宋体" w:hAnsi="宋体" w:eastAsia="宋体" w:cs="宋体"/>
          <w:color w:val="000000"/>
          <w:sz w:val="21"/>
          <w:szCs w:val="21"/>
          <w:bdr w:val="none" w:color="auto" w:sz="0" w:space="0"/>
          <w:shd w:val="clear" w:fill="FFFFFF"/>
        </w:rPr>
        <w:t>明确：介绍南仁东从小对看星星感兴趣，为他后来研究“中国天眼”，取得成就作铺垫。</w:t>
      </w:r>
    </w:p>
    <w:p>
      <w:pPr>
        <w:pStyle w:val="2"/>
        <w:keepNext w:val="0"/>
        <w:keepLines w:val="0"/>
        <w:widowControl/>
        <w:suppressLineNumbers w:val="0"/>
      </w:pPr>
      <w:r>
        <w:rPr>
          <w:rFonts w:hint="eastAsia" w:ascii="宋体" w:hAnsi="宋体" w:eastAsia="宋体" w:cs="宋体"/>
          <w:b/>
          <w:bCs w:val="0"/>
        </w:rPr>
        <w:t>设计意图：</w:t>
      </w:r>
      <w:r>
        <w:rPr>
          <w:rFonts w:hint="eastAsia" w:ascii="宋体" w:hAnsi="宋体" w:eastAsia="宋体" w:cs="宋体"/>
        </w:rPr>
        <w:t>通过了解作者、传记人物和创作背景，帮助学生理解课文的基本内涵；引导学生在朗读中体会文本，初步感知课文的内容。</w:t>
      </w:r>
    </w:p>
    <w:p>
      <w:pPr>
        <w:pStyle w:val="2"/>
        <w:keepNext w:val="0"/>
        <w:keepLines w:val="0"/>
        <w:widowControl/>
        <w:suppressLineNumbers w:val="0"/>
      </w:pPr>
      <w:r>
        <w:rPr>
          <w:rFonts w:hint="eastAsia" w:ascii="宋体" w:hAnsi="宋体" w:eastAsia="宋体" w:cs="宋体"/>
        </w:rPr>
        <w:t>过渡：通过刚刚的学习，我们知道本文写的是南仁东的故事，是关于南仁东先生的一篇传记。</w:t>
      </w:r>
    </w:p>
    <w:p>
      <w:pPr>
        <w:pStyle w:val="2"/>
        <w:keepNext w:val="0"/>
        <w:keepLines w:val="0"/>
        <w:widowControl/>
        <w:suppressLineNumbers w:val="0"/>
      </w:pPr>
      <w:r>
        <w:rPr>
          <w:rFonts w:hint="eastAsia" w:ascii="宋体" w:hAnsi="宋体" w:eastAsia="宋体" w:cs="宋体"/>
        </w:rPr>
        <w:t>文体知识补充：人物传记是通过对典型人物的生平、生活、精神等领域进行系统描述、介绍的一种文学作品形式。一般有两类：一类是记述自己的生平，一类是记述他人的生平。传记最大的特点就是“实录”。传记可繁可简，一般按时间顺序来记叙。</w:t>
      </w:r>
    </w:p>
    <w:p>
      <w:pPr>
        <w:pStyle w:val="2"/>
        <w:keepNext w:val="0"/>
        <w:keepLines w:val="0"/>
        <w:widowControl/>
        <w:suppressLineNumbers w:val="0"/>
      </w:pPr>
      <w:r>
        <w:rPr>
          <w:rFonts w:hint="eastAsia" w:ascii="宋体" w:hAnsi="宋体" w:eastAsia="宋体" w:cs="宋体"/>
        </w:rPr>
        <w:t>引导：那么读名人传记，我们要读它的什么？</w:t>
      </w:r>
    </w:p>
    <w:p>
      <w:pPr>
        <w:pStyle w:val="2"/>
        <w:keepNext w:val="0"/>
        <w:keepLines w:val="0"/>
        <w:widowControl/>
        <w:suppressLineNumbers w:val="0"/>
      </w:pPr>
      <w:r>
        <w:rPr>
          <w:rFonts w:hint="eastAsia" w:ascii="宋体" w:hAnsi="宋体" w:eastAsia="宋体" w:cs="宋体"/>
        </w:rPr>
        <w:t>预设：读名人的事迹，从名人事迹中学习名人的精神。</w:t>
      </w:r>
    </w:p>
    <w:p>
      <w:pPr>
        <w:pStyle w:val="2"/>
        <w:keepNext w:val="0"/>
        <w:keepLines w:val="0"/>
        <w:widowControl/>
        <w:suppressLineNumbers w:val="0"/>
      </w:pPr>
      <w:r>
        <w:rPr>
          <w:rFonts w:hint="eastAsia" w:ascii="宋体" w:hAnsi="宋体" w:eastAsia="宋体" w:cs="宋体"/>
        </w:rPr>
        <w:t>下面我们先来具体了解一下南仁东的人生经历吧。</w:t>
      </w:r>
    </w:p>
    <w:p>
      <w:pPr>
        <w:pStyle w:val="2"/>
        <w:keepNext w:val="0"/>
        <w:keepLines w:val="0"/>
        <w:widowControl/>
        <w:suppressLineNumbers w:val="0"/>
      </w:pPr>
      <w:r>
        <w:rPr>
          <w:rFonts w:hint="eastAsia" w:ascii="宋体" w:hAnsi="宋体" w:eastAsia="宋体" w:cs="宋体"/>
        </w:rPr>
        <w:t>提示：大家阅读时要学会关注课文的旁批，看看哪条批注可以帮助我们梳理南仁东的人生经历。（第二条批注</w:t>
      </w:r>
      <w:r>
        <w:rPr>
          <w:rFonts w:ascii="楷体" w:hAnsi="楷体" w:eastAsia="楷体" w:cs="楷体"/>
        </w:rPr>
        <w:t>“多处提到年份和传主的年龄，形成一条自然的线索。”</w:t>
      </w:r>
      <w:r>
        <w:rPr>
          <w:rFonts w:hint="eastAsia" w:ascii="宋体" w:hAnsi="宋体" w:eastAsia="宋体" w:cs="宋体"/>
        </w:rPr>
        <w:t>）</w:t>
      </w:r>
    </w:p>
    <w:p>
      <w:pPr>
        <w:pStyle w:val="2"/>
        <w:keepNext w:val="0"/>
        <w:keepLines w:val="0"/>
        <w:widowControl/>
        <w:suppressLineNumbers w:val="0"/>
      </w:pPr>
      <w:r>
        <w:rPr>
          <w:rFonts w:hint="eastAsia" w:ascii="宋体" w:hAnsi="宋体" w:eastAsia="宋体" w:cs="宋体"/>
          <w:b/>
        </w:rPr>
        <w:t>（二）活动任务二</w:t>
      </w:r>
    </w:p>
    <w:p>
      <w:pPr>
        <w:pStyle w:val="2"/>
        <w:keepNext w:val="0"/>
        <w:keepLines w:val="0"/>
        <w:widowControl/>
        <w:suppressLineNumbers w:val="0"/>
      </w:pPr>
      <w:r>
        <w:rPr>
          <w:b/>
          <w:bCs w:val="0"/>
        </w:rPr>
        <w:t>1.</w:t>
      </w:r>
      <w:r>
        <w:rPr>
          <w:rFonts w:hint="eastAsia" w:ascii="宋体" w:hAnsi="宋体" w:eastAsia="宋体" w:cs="宋体"/>
          <w:b/>
          <w:bCs w:val="0"/>
        </w:rPr>
        <w:t>发布任务</w:t>
      </w:r>
    </w:p>
    <w:p>
      <w:pPr>
        <w:pStyle w:val="2"/>
        <w:keepNext w:val="0"/>
        <w:keepLines w:val="0"/>
        <w:widowControl/>
        <w:suppressLineNumbers w:val="0"/>
      </w:pPr>
      <w:r>
        <w:rPr>
          <w:rFonts w:hint="eastAsia" w:ascii="宋体" w:hAnsi="宋体" w:eastAsia="宋体" w:cs="宋体"/>
        </w:rPr>
        <w:t>圈画文中年份或传主年龄的词句，完成人物档案表。</w:t>
      </w:r>
    </w:p>
    <w:tbl>
      <w:tblPr>
        <w:tblW w:w="8025" w:type="dxa"/>
        <w:tblInd w:w="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
      <w:tblGrid>
        <w:gridCol w:w="1055"/>
        <w:gridCol w:w="1189"/>
        <w:gridCol w:w="1333"/>
        <w:gridCol w:w="1419"/>
        <w:gridCol w:w="1371"/>
        <w:gridCol w:w="16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c>
          <w:tcPr>
            <w:tcW w:w="8025" w:type="dxa"/>
            <w:gridSpan w:val="6"/>
            <w:tcBorders>
              <w:top w:val="single" w:color="auto" w:sz="8" w:space="0"/>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bdr w:val="none" w:color="auto" w:sz="0" w:space="0"/>
              </w:rPr>
              <w:t>人物档案表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c>
          <w:tcPr>
            <w:tcW w:w="2244" w:type="dxa"/>
            <w:gridSpan w:val="2"/>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bdr w:val="none" w:color="auto" w:sz="0" w:space="0"/>
              </w:rPr>
              <w:t>南仁东</w:t>
            </w:r>
          </w:p>
        </w:tc>
        <w:tc>
          <w:tcPr>
            <w:tcW w:w="1333" w:type="dxa"/>
            <w:tcBorders>
              <w:top w:val="single" w:color="auto" w:sz="8" w:space="0"/>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bdr w:val="none" w:color="auto" w:sz="0" w:space="0"/>
              </w:rPr>
              <w:t>生卒年月</w:t>
            </w:r>
          </w:p>
        </w:tc>
        <w:tc>
          <w:tcPr>
            <w:tcW w:w="1419" w:type="dxa"/>
            <w:tcBorders>
              <w:top w:val="single" w:color="auto" w:sz="8" w:space="0"/>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bdr w:val="none" w:color="auto" w:sz="0" w:space="0"/>
              </w:rPr>
              <w:t> </w:t>
            </w:r>
          </w:p>
        </w:tc>
        <w:tc>
          <w:tcPr>
            <w:tcW w:w="1371" w:type="dxa"/>
            <w:tcBorders>
              <w:top w:val="single" w:color="auto" w:sz="8" w:space="0"/>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bdr w:val="none" w:color="auto" w:sz="0" w:space="0"/>
              </w:rPr>
              <w:t>籍贯</w:t>
            </w:r>
          </w:p>
        </w:tc>
        <w:tc>
          <w:tcPr>
            <w:tcW w:w="1658" w:type="dxa"/>
            <w:tcBorders>
              <w:top w:val="single" w:color="auto" w:sz="8" w:space="0"/>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bdr w:val="none" w:color="auto" w:sz="0" w:space="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c>
          <w:tcPr>
            <w:tcW w:w="1055" w:type="dxa"/>
            <w:vMerge w:val="restart"/>
            <w:tcBorders>
              <w:top w:val="nil"/>
              <w:left w:val="single" w:color="auto" w:sz="8" w:space="0"/>
              <w:bottom w:val="single" w:color="auto" w:sz="8" w:space="0"/>
              <w:right w:val="single" w:color="auto" w:sz="8" w:space="0"/>
            </w:tcBorders>
            <w:shd w:val="clear"/>
            <w:vAlign w:val="center"/>
          </w:tcPr>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bdr w:val="none" w:color="auto" w:sz="0" w:space="0"/>
              </w:rPr>
              <w:t>个</w:t>
            </w:r>
          </w:p>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bdr w:val="none" w:color="auto" w:sz="0" w:space="0"/>
              </w:rPr>
              <w:t>人</w:t>
            </w:r>
          </w:p>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bdr w:val="none" w:color="auto" w:sz="0" w:space="0"/>
              </w:rPr>
              <w:t>经</w:t>
            </w:r>
          </w:p>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bdr w:val="none" w:color="auto" w:sz="0" w:space="0"/>
              </w:rPr>
              <w:t>历</w:t>
            </w:r>
          </w:p>
        </w:tc>
        <w:tc>
          <w:tcPr>
            <w:tcW w:w="1189" w:type="dxa"/>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bdr w:val="none" w:color="auto" w:sz="0" w:space="0"/>
              </w:rPr>
              <w:t>年份</w:t>
            </w:r>
          </w:p>
        </w:tc>
        <w:tc>
          <w:tcPr>
            <w:tcW w:w="5781" w:type="dxa"/>
            <w:gridSpan w:val="4"/>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bdr w:val="none" w:color="auto" w:sz="0" w:space="0"/>
              </w:rPr>
              <w:t>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c>
          <w:tcPr>
            <w:tcW w:w="1055" w:type="dxa"/>
            <w:vMerge w:val="continue"/>
            <w:tcBorders>
              <w:top w:val="nil"/>
              <w:left w:val="single" w:color="auto" w:sz="8" w:space="0"/>
              <w:bottom w:val="single" w:color="auto" w:sz="8" w:space="0"/>
              <w:right w:val="single" w:color="auto" w:sz="8" w:space="0"/>
            </w:tcBorders>
            <w:shd w:val="clear"/>
            <w:vAlign w:val="center"/>
          </w:tcPr>
          <w:p>
            <w:pPr>
              <w:rPr>
                <w:rFonts w:hint="eastAsia" w:ascii="宋体"/>
                <w:sz w:val="24"/>
                <w:szCs w:val="24"/>
              </w:rPr>
            </w:pPr>
          </w:p>
        </w:tc>
        <w:tc>
          <w:tcPr>
            <w:tcW w:w="1189" w:type="dxa"/>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bdr w:val="none" w:color="auto" w:sz="0" w:space="0"/>
              </w:rPr>
              <w:t> </w:t>
            </w:r>
          </w:p>
        </w:tc>
        <w:tc>
          <w:tcPr>
            <w:tcW w:w="5781" w:type="dxa"/>
            <w:gridSpan w:val="4"/>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bdr w:val="none" w:color="auto" w:sz="0" w:space="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5" w:type="dxa"/>
            <w:vMerge w:val="continue"/>
            <w:tcBorders>
              <w:top w:val="nil"/>
              <w:left w:val="single" w:color="auto" w:sz="8" w:space="0"/>
              <w:bottom w:val="single" w:color="auto" w:sz="8" w:space="0"/>
              <w:right w:val="single" w:color="auto" w:sz="8" w:space="0"/>
            </w:tcBorders>
            <w:shd w:val="clear"/>
            <w:vAlign w:val="center"/>
          </w:tcPr>
          <w:p>
            <w:pPr>
              <w:rPr>
                <w:rFonts w:hint="eastAsia" w:ascii="宋体"/>
                <w:sz w:val="24"/>
                <w:szCs w:val="24"/>
              </w:rPr>
            </w:pPr>
          </w:p>
        </w:tc>
        <w:tc>
          <w:tcPr>
            <w:tcW w:w="1189" w:type="dxa"/>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bdr w:val="none" w:color="auto" w:sz="0" w:space="0"/>
              </w:rPr>
              <w:t> </w:t>
            </w:r>
          </w:p>
        </w:tc>
        <w:tc>
          <w:tcPr>
            <w:tcW w:w="5781" w:type="dxa"/>
            <w:gridSpan w:val="4"/>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bdr w:val="none" w:color="auto" w:sz="0" w:space="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5" w:type="dxa"/>
            <w:vMerge w:val="continue"/>
            <w:tcBorders>
              <w:top w:val="nil"/>
              <w:left w:val="single" w:color="auto" w:sz="8" w:space="0"/>
              <w:bottom w:val="single" w:color="auto" w:sz="8" w:space="0"/>
              <w:right w:val="single" w:color="auto" w:sz="8" w:space="0"/>
            </w:tcBorders>
            <w:shd w:val="clear"/>
            <w:vAlign w:val="center"/>
          </w:tcPr>
          <w:p>
            <w:pPr>
              <w:rPr>
                <w:rFonts w:hint="eastAsia" w:ascii="宋体"/>
                <w:sz w:val="24"/>
                <w:szCs w:val="24"/>
              </w:rPr>
            </w:pPr>
          </w:p>
        </w:tc>
        <w:tc>
          <w:tcPr>
            <w:tcW w:w="1189" w:type="dxa"/>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bdr w:val="none" w:color="auto" w:sz="0" w:space="0"/>
              </w:rPr>
              <w:t> </w:t>
            </w:r>
          </w:p>
        </w:tc>
        <w:tc>
          <w:tcPr>
            <w:tcW w:w="5781" w:type="dxa"/>
            <w:gridSpan w:val="4"/>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bdr w:val="none" w:color="auto" w:sz="0" w:space="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5" w:type="dxa"/>
            <w:vMerge w:val="continue"/>
            <w:tcBorders>
              <w:top w:val="nil"/>
              <w:left w:val="single" w:color="auto" w:sz="8" w:space="0"/>
              <w:bottom w:val="single" w:color="auto" w:sz="8" w:space="0"/>
              <w:right w:val="single" w:color="auto" w:sz="8" w:space="0"/>
            </w:tcBorders>
            <w:shd w:val="clear"/>
            <w:vAlign w:val="center"/>
          </w:tcPr>
          <w:p>
            <w:pPr>
              <w:rPr>
                <w:rFonts w:hint="eastAsia" w:ascii="宋体"/>
                <w:sz w:val="24"/>
                <w:szCs w:val="24"/>
              </w:rPr>
            </w:pPr>
          </w:p>
        </w:tc>
        <w:tc>
          <w:tcPr>
            <w:tcW w:w="1189" w:type="dxa"/>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bdr w:val="none" w:color="auto" w:sz="0" w:space="0"/>
              </w:rPr>
              <w:t> </w:t>
            </w:r>
          </w:p>
        </w:tc>
        <w:tc>
          <w:tcPr>
            <w:tcW w:w="5781" w:type="dxa"/>
            <w:gridSpan w:val="4"/>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bdr w:val="none" w:color="auto" w:sz="0" w:space="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5" w:type="dxa"/>
            <w:vMerge w:val="continue"/>
            <w:tcBorders>
              <w:top w:val="nil"/>
              <w:left w:val="single" w:color="auto" w:sz="8" w:space="0"/>
              <w:bottom w:val="single" w:color="auto" w:sz="8" w:space="0"/>
              <w:right w:val="single" w:color="auto" w:sz="8" w:space="0"/>
            </w:tcBorders>
            <w:shd w:val="clear"/>
            <w:vAlign w:val="center"/>
          </w:tcPr>
          <w:p>
            <w:pPr>
              <w:rPr>
                <w:rFonts w:hint="eastAsia" w:ascii="宋体"/>
                <w:sz w:val="24"/>
                <w:szCs w:val="24"/>
              </w:rPr>
            </w:pPr>
          </w:p>
        </w:tc>
        <w:tc>
          <w:tcPr>
            <w:tcW w:w="1189" w:type="dxa"/>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bdr w:val="none" w:color="auto" w:sz="0" w:space="0"/>
              </w:rPr>
              <w:t> </w:t>
            </w:r>
          </w:p>
        </w:tc>
        <w:tc>
          <w:tcPr>
            <w:tcW w:w="5781" w:type="dxa"/>
            <w:gridSpan w:val="4"/>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bdr w:val="none" w:color="auto" w:sz="0" w:space="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5" w:type="dxa"/>
            <w:vMerge w:val="continue"/>
            <w:tcBorders>
              <w:top w:val="nil"/>
              <w:left w:val="single" w:color="auto" w:sz="8" w:space="0"/>
              <w:bottom w:val="single" w:color="auto" w:sz="8" w:space="0"/>
              <w:right w:val="single" w:color="auto" w:sz="8" w:space="0"/>
            </w:tcBorders>
            <w:shd w:val="clear"/>
            <w:vAlign w:val="center"/>
          </w:tcPr>
          <w:p>
            <w:pPr>
              <w:rPr>
                <w:rFonts w:hint="eastAsia" w:ascii="宋体"/>
                <w:sz w:val="24"/>
                <w:szCs w:val="24"/>
              </w:rPr>
            </w:pPr>
          </w:p>
        </w:tc>
        <w:tc>
          <w:tcPr>
            <w:tcW w:w="1189" w:type="dxa"/>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bdr w:val="none" w:color="auto" w:sz="0" w:space="0"/>
              </w:rPr>
              <w:t> </w:t>
            </w:r>
          </w:p>
        </w:tc>
        <w:tc>
          <w:tcPr>
            <w:tcW w:w="5781" w:type="dxa"/>
            <w:gridSpan w:val="4"/>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bdr w:val="none" w:color="auto" w:sz="0" w:space="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5" w:type="dxa"/>
            <w:vMerge w:val="continue"/>
            <w:tcBorders>
              <w:top w:val="nil"/>
              <w:left w:val="single" w:color="auto" w:sz="8" w:space="0"/>
              <w:bottom w:val="single" w:color="auto" w:sz="8" w:space="0"/>
              <w:right w:val="single" w:color="auto" w:sz="8" w:space="0"/>
            </w:tcBorders>
            <w:shd w:val="clear"/>
            <w:vAlign w:val="center"/>
          </w:tcPr>
          <w:p>
            <w:pPr>
              <w:rPr>
                <w:rFonts w:hint="eastAsia" w:ascii="宋体"/>
                <w:sz w:val="24"/>
                <w:szCs w:val="24"/>
              </w:rPr>
            </w:pPr>
          </w:p>
        </w:tc>
        <w:tc>
          <w:tcPr>
            <w:tcW w:w="1189" w:type="dxa"/>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bdr w:val="none" w:color="auto" w:sz="0" w:space="0"/>
              </w:rPr>
              <w:t> </w:t>
            </w:r>
          </w:p>
        </w:tc>
        <w:tc>
          <w:tcPr>
            <w:tcW w:w="5781" w:type="dxa"/>
            <w:gridSpan w:val="4"/>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bdr w:val="none" w:color="auto" w:sz="0" w:space="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5" w:type="dxa"/>
            <w:vMerge w:val="continue"/>
            <w:tcBorders>
              <w:top w:val="nil"/>
              <w:left w:val="single" w:color="auto" w:sz="8" w:space="0"/>
              <w:bottom w:val="single" w:color="auto" w:sz="8" w:space="0"/>
              <w:right w:val="single" w:color="auto" w:sz="8" w:space="0"/>
            </w:tcBorders>
            <w:shd w:val="clear"/>
            <w:vAlign w:val="center"/>
          </w:tcPr>
          <w:p>
            <w:pPr>
              <w:rPr>
                <w:rFonts w:hint="eastAsia" w:ascii="宋体"/>
                <w:sz w:val="24"/>
                <w:szCs w:val="24"/>
              </w:rPr>
            </w:pPr>
          </w:p>
        </w:tc>
        <w:tc>
          <w:tcPr>
            <w:tcW w:w="1189" w:type="dxa"/>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bdr w:val="none" w:color="auto" w:sz="0" w:space="0"/>
              </w:rPr>
              <w:t> </w:t>
            </w:r>
          </w:p>
        </w:tc>
        <w:tc>
          <w:tcPr>
            <w:tcW w:w="5781" w:type="dxa"/>
            <w:gridSpan w:val="4"/>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bdr w:val="none" w:color="auto" w:sz="0" w:space="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5" w:type="dxa"/>
            <w:vMerge w:val="continue"/>
            <w:tcBorders>
              <w:top w:val="nil"/>
              <w:left w:val="single" w:color="auto" w:sz="8" w:space="0"/>
              <w:bottom w:val="single" w:color="auto" w:sz="8" w:space="0"/>
              <w:right w:val="single" w:color="auto" w:sz="8" w:space="0"/>
            </w:tcBorders>
            <w:shd w:val="clear"/>
            <w:vAlign w:val="center"/>
          </w:tcPr>
          <w:p>
            <w:pPr>
              <w:rPr>
                <w:rFonts w:hint="eastAsia" w:ascii="宋体"/>
                <w:sz w:val="24"/>
                <w:szCs w:val="24"/>
              </w:rPr>
            </w:pPr>
          </w:p>
        </w:tc>
        <w:tc>
          <w:tcPr>
            <w:tcW w:w="1189" w:type="dxa"/>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bdr w:val="none" w:color="auto" w:sz="0" w:space="0"/>
              </w:rPr>
              <w:t> </w:t>
            </w:r>
          </w:p>
        </w:tc>
        <w:tc>
          <w:tcPr>
            <w:tcW w:w="5781" w:type="dxa"/>
            <w:gridSpan w:val="4"/>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bdr w:val="none" w:color="auto" w:sz="0" w:space="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5" w:type="dxa"/>
            <w:vMerge w:val="continue"/>
            <w:tcBorders>
              <w:top w:val="nil"/>
              <w:left w:val="single" w:color="auto" w:sz="8" w:space="0"/>
              <w:bottom w:val="single" w:color="auto" w:sz="8" w:space="0"/>
              <w:right w:val="single" w:color="auto" w:sz="8" w:space="0"/>
            </w:tcBorders>
            <w:shd w:val="clear"/>
            <w:vAlign w:val="center"/>
          </w:tcPr>
          <w:p>
            <w:pPr>
              <w:rPr>
                <w:rFonts w:hint="eastAsia" w:ascii="宋体"/>
                <w:sz w:val="24"/>
                <w:szCs w:val="24"/>
              </w:rPr>
            </w:pPr>
          </w:p>
        </w:tc>
        <w:tc>
          <w:tcPr>
            <w:tcW w:w="1189" w:type="dxa"/>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bdr w:val="none" w:color="auto" w:sz="0" w:space="0"/>
              </w:rPr>
              <w:t> </w:t>
            </w:r>
          </w:p>
        </w:tc>
        <w:tc>
          <w:tcPr>
            <w:tcW w:w="5781" w:type="dxa"/>
            <w:gridSpan w:val="4"/>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bdr w:val="none" w:color="auto" w:sz="0" w:space="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5" w:type="dxa"/>
            <w:vMerge w:val="continue"/>
            <w:tcBorders>
              <w:top w:val="nil"/>
              <w:left w:val="single" w:color="auto" w:sz="8" w:space="0"/>
              <w:bottom w:val="single" w:color="auto" w:sz="8" w:space="0"/>
              <w:right w:val="single" w:color="auto" w:sz="8" w:space="0"/>
            </w:tcBorders>
            <w:shd w:val="clear"/>
            <w:vAlign w:val="center"/>
          </w:tcPr>
          <w:p>
            <w:pPr>
              <w:rPr>
                <w:rFonts w:hint="eastAsia" w:ascii="宋体"/>
                <w:sz w:val="24"/>
                <w:szCs w:val="24"/>
              </w:rPr>
            </w:pPr>
          </w:p>
        </w:tc>
        <w:tc>
          <w:tcPr>
            <w:tcW w:w="1189" w:type="dxa"/>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bdr w:val="none" w:color="auto" w:sz="0" w:space="0"/>
              </w:rPr>
              <w:t> </w:t>
            </w:r>
          </w:p>
        </w:tc>
        <w:tc>
          <w:tcPr>
            <w:tcW w:w="5781" w:type="dxa"/>
            <w:gridSpan w:val="4"/>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bdr w:val="none" w:color="auto" w:sz="0" w:space="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c>
          <w:tcPr>
            <w:tcW w:w="1055" w:type="dxa"/>
            <w:vMerge w:val="continue"/>
            <w:tcBorders>
              <w:top w:val="nil"/>
              <w:left w:val="single" w:color="auto" w:sz="8" w:space="0"/>
              <w:bottom w:val="single" w:color="auto" w:sz="8" w:space="0"/>
              <w:right w:val="single" w:color="auto" w:sz="8" w:space="0"/>
            </w:tcBorders>
            <w:shd w:val="clear"/>
            <w:vAlign w:val="center"/>
          </w:tcPr>
          <w:p>
            <w:pPr>
              <w:rPr>
                <w:rFonts w:hint="eastAsia" w:ascii="宋体"/>
                <w:sz w:val="24"/>
                <w:szCs w:val="24"/>
              </w:rPr>
            </w:pPr>
          </w:p>
        </w:tc>
        <w:tc>
          <w:tcPr>
            <w:tcW w:w="1189" w:type="dxa"/>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bdr w:val="none" w:color="auto" w:sz="0" w:space="0"/>
              </w:rPr>
              <w:t> </w:t>
            </w:r>
          </w:p>
        </w:tc>
        <w:tc>
          <w:tcPr>
            <w:tcW w:w="5781" w:type="dxa"/>
            <w:gridSpan w:val="4"/>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bdr w:val="none" w:color="auto" w:sz="0" w:space="0"/>
              </w:rPr>
              <w:t> </w:t>
            </w:r>
          </w:p>
        </w:tc>
      </w:tr>
    </w:tbl>
    <w:p>
      <w:pPr>
        <w:pStyle w:val="2"/>
        <w:keepNext w:val="0"/>
        <w:keepLines w:val="0"/>
        <w:widowControl/>
        <w:suppressLineNumbers w:val="0"/>
      </w:pPr>
      <w:r>
        <w:rPr>
          <w:rFonts w:hint="eastAsia" w:ascii="宋体" w:hAnsi="宋体" w:eastAsia="宋体" w:cs="宋体"/>
          <w:b/>
          <w:bCs w:val="0"/>
        </w:rPr>
        <w:t>2</w:t>
      </w:r>
      <w:r>
        <w:rPr>
          <w:b/>
          <w:bCs w:val="0"/>
        </w:rPr>
        <w:t>.</w:t>
      </w:r>
      <w:r>
        <w:rPr>
          <w:rFonts w:hint="eastAsia" w:ascii="宋体" w:hAnsi="宋体" w:eastAsia="宋体" w:cs="宋体"/>
          <w:b/>
          <w:bCs w:val="0"/>
        </w:rPr>
        <w:t>活动安排</w:t>
      </w:r>
    </w:p>
    <w:p>
      <w:pPr>
        <w:pStyle w:val="2"/>
        <w:keepNext w:val="0"/>
        <w:keepLines w:val="0"/>
        <w:widowControl/>
        <w:suppressLineNumbers w:val="0"/>
      </w:pPr>
      <w:r>
        <w:rPr>
          <w:rFonts w:hint="eastAsia" w:ascii="宋体" w:hAnsi="宋体" w:eastAsia="宋体" w:cs="宋体"/>
        </w:rPr>
        <w:t>（1）默读课文，边读边画出文中年份或传主年龄的词句。</w:t>
      </w:r>
    </w:p>
    <w:p>
      <w:pPr>
        <w:pStyle w:val="2"/>
        <w:keepNext w:val="0"/>
        <w:keepLines w:val="0"/>
        <w:widowControl/>
        <w:suppressLineNumbers w:val="0"/>
      </w:pPr>
      <w:r>
        <w:rPr>
          <w:rFonts w:hint="eastAsia" w:ascii="宋体" w:hAnsi="宋体" w:eastAsia="宋体" w:cs="宋体"/>
        </w:rPr>
        <w:t>（2）结合课文内容，提取、归纳关键信息，试填写表格。</w:t>
      </w:r>
    </w:p>
    <w:p>
      <w:pPr>
        <w:pStyle w:val="2"/>
        <w:keepNext w:val="0"/>
        <w:keepLines w:val="0"/>
        <w:widowControl/>
        <w:suppressLineNumbers w:val="0"/>
      </w:pPr>
      <w:r>
        <w:rPr>
          <w:rFonts w:hint="eastAsia" w:ascii="宋体" w:hAnsi="宋体" w:eastAsia="宋体" w:cs="宋体"/>
        </w:rPr>
        <w:t>（3）独立思考后，小组内交流分享探究成果，形成小组结论。</w:t>
      </w:r>
    </w:p>
    <w:p>
      <w:pPr>
        <w:pStyle w:val="2"/>
        <w:keepNext w:val="0"/>
        <w:keepLines w:val="0"/>
        <w:widowControl/>
        <w:suppressLineNumbers w:val="0"/>
      </w:pPr>
      <w:r>
        <w:rPr>
          <w:rFonts w:hint="eastAsia" w:ascii="宋体" w:hAnsi="宋体" w:eastAsia="宋体" w:cs="宋体"/>
        </w:rPr>
        <w:t>（</w:t>
      </w:r>
      <w:r>
        <w:t>4</w:t>
      </w:r>
      <w:r>
        <w:rPr>
          <w:rFonts w:hint="eastAsia" w:ascii="宋体" w:hAnsi="宋体" w:eastAsia="宋体" w:cs="宋体"/>
        </w:rPr>
        <w:t>）小组派代表展示表格，分享小组结论，教师相机引导、归纳、总结。</w:t>
      </w:r>
    </w:p>
    <w:p>
      <w:pPr>
        <w:pStyle w:val="2"/>
        <w:keepNext w:val="0"/>
        <w:keepLines w:val="0"/>
        <w:widowControl/>
        <w:suppressLineNumbers w:val="0"/>
      </w:pPr>
      <w:r>
        <w:rPr>
          <w:b/>
          <w:bCs w:val="0"/>
        </w:rPr>
        <w:t>3.成果展示</w:t>
      </w:r>
    </w:p>
    <w:p>
      <w:pPr>
        <w:pStyle w:val="2"/>
        <w:keepNext w:val="0"/>
        <w:keepLines w:val="0"/>
        <w:widowControl/>
        <w:suppressLineNumbers w:val="0"/>
      </w:pPr>
      <w:r>
        <w:rPr>
          <w:rFonts w:hint="eastAsia" w:ascii="宋体" w:hAnsi="宋体" w:eastAsia="宋体" w:cs="宋体"/>
          <w:sz w:val="21"/>
          <w:szCs w:val="21"/>
        </w:rPr>
        <w:t>展示学生探究成果，教师相机指导。</w:t>
      </w:r>
    </w:p>
    <w:tbl>
      <w:tblPr>
        <w:tblW w:w="8026" w:type="dxa"/>
        <w:tblInd w:w="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
      <w:tblGrid>
        <w:gridCol w:w="661"/>
        <w:gridCol w:w="1577"/>
        <w:gridCol w:w="1294"/>
        <w:gridCol w:w="1586"/>
        <w:gridCol w:w="1248"/>
        <w:gridCol w:w="1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c>
          <w:tcPr>
            <w:tcW w:w="8026" w:type="dxa"/>
            <w:gridSpan w:val="6"/>
            <w:tcBorders>
              <w:top w:val="single" w:color="auto" w:sz="8" w:space="0"/>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color w:val="000000"/>
                <w:kern w:val="2"/>
                <w:sz w:val="21"/>
                <w:szCs w:val="21"/>
                <w:bdr w:val="none" w:color="auto" w:sz="0" w:space="0"/>
              </w:rPr>
              <w:t>人物档案表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c>
          <w:tcPr>
            <w:tcW w:w="2238" w:type="dxa"/>
            <w:gridSpan w:val="2"/>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color w:val="000000"/>
                <w:kern w:val="2"/>
                <w:sz w:val="21"/>
                <w:szCs w:val="21"/>
                <w:bdr w:val="none" w:color="auto" w:sz="0" w:space="0"/>
              </w:rPr>
              <w:t>南仁东</w:t>
            </w:r>
          </w:p>
        </w:tc>
        <w:tc>
          <w:tcPr>
            <w:tcW w:w="1294" w:type="dxa"/>
            <w:tcBorders>
              <w:top w:val="single" w:color="auto" w:sz="8" w:space="0"/>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color w:val="000000"/>
                <w:kern w:val="2"/>
                <w:sz w:val="21"/>
                <w:szCs w:val="21"/>
                <w:bdr w:val="none" w:color="auto" w:sz="0" w:space="0"/>
              </w:rPr>
              <w:t>生卒年月</w:t>
            </w:r>
          </w:p>
        </w:tc>
        <w:tc>
          <w:tcPr>
            <w:tcW w:w="1586" w:type="dxa"/>
            <w:tcBorders>
              <w:top w:val="single" w:color="auto" w:sz="8" w:space="0"/>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color w:val="000000"/>
                <w:kern w:val="2"/>
                <w:sz w:val="21"/>
                <w:szCs w:val="21"/>
                <w:bdr w:val="none" w:color="auto" w:sz="0" w:space="0"/>
              </w:rPr>
              <w:t>1945年2月—2017年9月</w:t>
            </w:r>
          </w:p>
        </w:tc>
        <w:tc>
          <w:tcPr>
            <w:tcW w:w="1248" w:type="dxa"/>
            <w:tcBorders>
              <w:top w:val="single" w:color="auto" w:sz="8" w:space="0"/>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color w:val="000000"/>
                <w:kern w:val="2"/>
                <w:sz w:val="21"/>
                <w:szCs w:val="21"/>
                <w:bdr w:val="none" w:color="auto" w:sz="0" w:space="0"/>
              </w:rPr>
              <w:t>籍贯</w:t>
            </w:r>
          </w:p>
        </w:tc>
        <w:tc>
          <w:tcPr>
            <w:tcW w:w="1660" w:type="dxa"/>
            <w:tcBorders>
              <w:top w:val="single" w:color="auto" w:sz="8" w:space="0"/>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color w:val="000000"/>
                <w:kern w:val="2"/>
                <w:sz w:val="21"/>
                <w:szCs w:val="21"/>
                <w:bdr w:val="none" w:color="auto" w:sz="0" w:space="0"/>
              </w:rPr>
              <w:t>吉林辽源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c>
          <w:tcPr>
            <w:tcW w:w="661" w:type="dxa"/>
            <w:vMerge w:val="restart"/>
            <w:tcBorders>
              <w:top w:val="nil"/>
              <w:left w:val="single" w:color="auto" w:sz="8" w:space="0"/>
              <w:bottom w:val="single" w:color="auto" w:sz="8" w:space="0"/>
              <w:right w:val="single" w:color="auto" w:sz="8" w:space="0"/>
            </w:tcBorders>
            <w:shd w:val="clear"/>
            <w:vAlign w:val="bottom"/>
          </w:tcPr>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color w:val="000000"/>
                <w:kern w:val="2"/>
                <w:sz w:val="21"/>
                <w:szCs w:val="21"/>
                <w:bdr w:val="none" w:color="auto" w:sz="0" w:space="0"/>
              </w:rPr>
              <w:t> </w:t>
            </w:r>
          </w:p>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color w:val="000000"/>
                <w:kern w:val="2"/>
                <w:sz w:val="21"/>
                <w:szCs w:val="21"/>
                <w:bdr w:val="none" w:color="auto" w:sz="0" w:space="0"/>
              </w:rPr>
              <w:t> </w:t>
            </w:r>
          </w:p>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color w:val="000000"/>
                <w:kern w:val="2"/>
                <w:sz w:val="21"/>
                <w:szCs w:val="21"/>
                <w:bdr w:val="none" w:color="auto" w:sz="0" w:space="0"/>
              </w:rPr>
              <w:t> </w:t>
            </w:r>
          </w:p>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color w:val="000000"/>
                <w:kern w:val="2"/>
                <w:sz w:val="21"/>
                <w:szCs w:val="21"/>
                <w:bdr w:val="none" w:color="auto" w:sz="0" w:space="0"/>
              </w:rPr>
              <w:t> </w:t>
            </w:r>
          </w:p>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color w:val="000000"/>
                <w:kern w:val="2"/>
                <w:sz w:val="21"/>
                <w:szCs w:val="21"/>
                <w:bdr w:val="none" w:color="auto" w:sz="0" w:space="0"/>
              </w:rPr>
              <w:t> </w:t>
            </w:r>
          </w:p>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color w:val="000000"/>
                <w:kern w:val="2"/>
                <w:sz w:val="21"/>
                <w:szCs w:val="21"/>
                <w:bdr w:val="none" w:color="auto" w:sz="0" w:space="0"/>
              </w:rPr>
              <w:t> </w:t>
            </w:r>
          </w:p>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color w:val="000000"/>
                <w:kern w:val="2"/>
                <w:sz w:val="21"/>
                <w:szCs w:val="21"/>
                <w:bdr w:val="none" w:color="auto" w:sz="0" w:space="0"/>
              </w:rPr>
              <w:t> </w:t>
            </w:r>
          </w:p>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color w:val="000000"/>
                <w:kern w:val="2"/>
                <w:sz w:val="21"/>
                <w:szCs w:val="21"/>
                <w:bdr w:val="none" w:color="auto" w:sz="0" w:space="0"/>
              </w:rPr>
              <w:t> </w:t>
            </w:r>
          </w:p>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color w:val="000000"/>
                <w:kern w:val="2"/>
                <w:sz w:val="21"/>
                <w:szCs w:val="21"/>
                <w:bdr w:val="none" w:color="auto" w:sz="0" w:space="0"/>
              </w:rPr>
              <w:t> </w:t>
            </w:r>
          </w:p>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color w:val="000000"/>
                <w:kern w:val="2"/>
                <w:sz w:val="21"/>
                <w:szCs w:val="21"/>
                <w:bdr w:val="none" w:color="auto" w:sz="0" w:space="0"/>
              </w:rPr>
              <w:t>个</w:t>
            </w:r>
          </w:p>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color w:val="000000"/>
                <w:kern w:val="2"/>
                <w:sz w:val="21"/>
                <w:szCs w:val="21"/>
                <w:bdr w:val="none" w:color="auto" w:sz="0" w:space="0"/>
              </w:rPr>
              <w:t>人</w:t>
            </w:r>
          </w:p>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color w:val="000000"/>
                <w:kern w:val="2"/>
                <w:sz w:val="21"/>
                <w:szCs w:val="21"/>
                <w:bdr w:val="none" w:color="auto" w:sz="0" w:space="0"/>
              </w:rPr>
              <w:t>经</w:t>
            </w:r>
          </w:p>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color w:val="000000"/>
                <w:kern w:val="2"/>
                <w:sz w:val="21"/>
                <w:szCs w:val="21"/>
                <w:bdr w:val="none" w:color="auto" w:sz="0" w:space="0"/>
              </w:rPr>
              <w:t>历</w:t>
            </w:r>
          </w:p>
        </w:tc>
        <w:tc>
          <w:tcPr>
            <w:tcW w:w="1577" w:type="dxa"/>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color w:val="000000"/>
                <w:kern w:val="2"/>
                <w:sz w:val="21"/>
                <w:szCs w:val="21"/>
                <w:bdr w:val="none" w:color="auto" w:sz="0" w:space="0"/>
              </w:rPr>
              <w:t>年份</w:t>
            </w:r>
          </w:p>
        </w:tc>
        <w:tc>
          <w:tcPr>
            <w:tcW w:w="5788" w:type="dxa"/>
            <w:gridSpan w:val="4"/>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color w:val="000000"/>
                <w:kern w:val="2"/>
                <w:sz w:val="21"/>
                <w:szCs w:val="21"/>
                <w:bdr w:val="none" w:color="auto" w:sz="0" w:space="0"/>
              </w:rPr>
              <w:t>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1" w:type="dxa"/>
            <w:vMerge w:val="continue"/>
            <w:tcBorders>
              <w:top w:val="nil"/>
              <w:left w:val="single" w:color="auto" w:sz="8" w:space="0"/>
              <w:bottom w:val="single" w:color="auto" w:sz="8" w:space="0"/>
              <w:right w:val="single" w:color="auto" w:sz="8" w:space="0"/>
            </w:tcBorders>
            <w:shd w:val="clear"/>
            <w:vAlign w:val="bottom"/>
          </w:tcPr>
          <w:p>
            <w:pPr>
              <w:rPr>
                <w:rFonts w:hint="eastAsia" w:ascii="宋体"/>
                <w:sz w:val="24"/>
                <w:szCs w:val="24"/>
              </w:rPr>
            </w:pPr>
          </w:p>
        </w:tc>
        <w:tc>
          <w:tcPr>
            <w:tcW w:w="1577" w:type="dxa"/>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color w:val="000000"/>
                <w:kern w:val="2"/>
                <w:sz w:val="21"/>
                <w:szCs w:val="21"/>
                <w:bdr w:val="none" w:color="auto" w:sz="0" w:space="0"/>
              </w:rPr>
              <w:t>1945年2月</w:t>
            </w:r>
          </w:p>
        </w:tc>
        <w:tc>
          <w:tcPr>
            <w:tcW w:w="5788" w:type="dxa"/>
            <w:gridSpan w:val="4"/>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left"/>
            </w:pPr>
            <w:r>
              <w:rPr>
                <w:rFonts w:hint="eastAsia" w:ascii="宋体" w:hAnsi="宋体" w:eastAsia="宋体" w:cs="宋体"/>
                <w:color w:val="000000"/>
                <w:kern w:val="2"/>
                <w:sz w:val="21"/>
                <w:szCs w:val="21"/>
                <w:bdr w:val="none" w:color="auto" w:sz="0" w:space="0"/>
              </w:rPr>
              <w:t>出生在辽河上游的吉林辽源。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1" w:type="dxa"/>
            <w:vMerge w:val="continue"/>
            <w:tcBorders>
              <w:top w:val="nil"/>
              <w:left w:val="single" w:color="auto" w:sz="8" w:space="0"/>
              <w:bottom w:val="single" w:color="auto" w:sz="8" w:space="0"/>
              <w:right w:val="single" w:color="auto" w:sz="8" w:space="0"/>
            </w:tcBorders>
            <w:shd w:val="clear"/>
            <w:vAlign w:val="bottom"/>
          </w:tcPr>
          <w:p>
            <w:pPr>
              <w:rPr>
                <w:rFonts w:hint="eastAsia" w:ascii="宋体"/>
                <w:sz w:val="24"/>
                <w:szCs w:val="24"/>
              </w:rPr>
            </w:pPr>
          </w:p>
        </w:tc>
        <w:tc>
          <w:tcPr>
            <w:tcW w:w="1577" w:type="dxa"/>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color w:val="000000"/>
                <w:kern w:val="2"/>
                <w:sz w:val="21"/>
                <w:szCs w:val="21"/>
                <w:bdr w:val="none" w:color="auto" w:sz="0" w:space="0"/>
              </w:rPr>
              <w:t>1963年</w:t>
            </w:r>
          </w:p>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color w:val="000000"/>
                <w:kern w:val="2"/>
                <w:sz w:val="21"/>
                <w:szCs w:val="21"/>
                <w:bdr w:val="none" w:color="auto" w:sz="0" w:space="0"/>
              </w:rPr>
              <w:t>（18岁）</w:t>
            </w:r>
          </w:p>
        </w:tc>
        <w:tc>
          <w:tcPr>
            <w:tcW w:w="5788" w:type="dxa"/>
            <w:gridSpan w:val="4"/>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left"/>
            </w:pPr>
            <w:r>
              <w:rPr>
                <w:rFonts w:hint="eastAsia" w:ascii="宋体" w:hAnsi="宋体" w:eastAsia="宋体" w:cs="宋体"/>
                <w:color w:val="000000"/>
                <w:kern w:val="2"/>
                <w:sz w:val="21"/>
                <w:szCs w:val="21"/>
                <w:bdr w:val="none" w:color="auto" w:sz="0" w:space="0"/>
              </w:rPr>
              <w:t>南仁东以吉林省理科第一名的成绩考入清华大学无线电电子学系。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1" w:type="dxa"/>
            <w:vMerge w:val="continue"/>
            <w:tcBorders>
              <w:top w:val="nil"/>
              <w:left w:val="single" w:color="auto" w:sz="8" w:space="0"/>
              <w:bottom w:val="single" w:color="auto" w:sz="8" w:space="0"/>
              <w:right w:val="single" w:color="auto" w:sz="8" w:space="0"/>
            </w:tcBorders>
            <w:shd w:val="clear"/>
            <w:vAlign w:val="bottom"/>
          </w:tcPr>
          <w:p>
            <w:pPr>
              <w:rPr>
                <w:rFonts w:hint="eastAsia" w:ascii="宋体"/>
                <w:sz w:val="24"/>
                <w:szCs w:val="24"/>
              </w:rPr>
            </w:pPr>
          </w:p>
        </w:tc>
        <w:tc>
          <w:tcPr>
            <w:tcW w:w="1577" w:type="dxa"/>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color w:val="000000"/>
                <w:kern w:val="2"/>
                <w:sz w:val="21"/>
                <w:szCs w:val="21"/>
                <w:bdr w:val="none" w:color="auto" w:sz="0" w:space="0"/>
              </w:rPr>
              <w:t>1968年</w:t>
            </w:r>
          </w:p>
        </w:tc>
        <w:tc>
          <w:tcPr>
            <w:tcW w:w="5788" w:type="dxa"/>
            <w:gridSpan w:val="4"/>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left"/>
            </w:pPr>
            <w:r>
              <w:rPr>
                <w:rFonts w:hint="eastAsia" w:ascii="宋体" w:hAnsi="宋体" w:eastAsia="宋体" w:cs="宋体"/>
                <w:color w:val="000000"/>
                <w:kern w:val="2"/>
                <w:sz w:val="21"/>
                <w:szCs w:val="21"/>
                <w:bdr w:val="none" w:color="auto" w:sz="0" w:space="0"/>
              </w:rPr>
              <w:t>南仁东分配到吉林省通化市无线电厂做“小金工”。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1" w:type="dxa"/>
            <w:vMerge w:val="continue"/>
            <w:tcBorders>
              <w:top w:val="nil"/>
              <w:left w:val="single" w:color="auto" w:sz="8" w:space="0"/>
              <w:bottom w:val="single" w:color="auto" w:sz="8" w:space="0"/>
              <w:right w:val="single" w:color="auto" w:sz="8" w:space="0"/>
            </w:tcBorders>
            <w:shd w:val="clear"/>
            <w:vAlign w:val="bottom"/>
          </w:tcPr>
          <w:p>
            <w:pPr>
              <w:rPr>
                <w:rFonts w:hint="eastAsia" w:ascii="宋体"/>
                <w:sz w:val="24"/>
                <w:szCs w:val="24"/>
              </w:rPr>
            </w:pPr>
          </w:p>
        </w:tc>
        <w:tc>
          <w:tcPr>
            <w:tcW w:w="1577" w:type="dxa"/>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color w:val="000000"/>
                <w:kern w:val="2"/>
                <w:sz w:val="21"/>
                <w:szCs w:val="21"/>
                <w:bdr w:val="none" w:color="auto" w:sz="0" w:space="0"/>
              </w:rPr>
              <w:t>1978年</w:t>
            </w:r>
          </w:p>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color w:val="000000"/>
                <w:kern w:val="2"/>
                <w:sz w:val="21"/>
                <w:szCs w:val="21"/>
                <w:bdr w:val="none" w:color="auto" w:sz="0" w:space="0"/>
              </w:rPr>
              <w:t>（33岁）</w:t>
            </w:r>
          </w:p>
        </w:tc>
        <w:tc>
          <w:tcPr>
            <w:tcW w:w="5788" w:type="dxa"/>
            <w:gridSpan w:val="4"/>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left"/>
            </w:pPr>
            <w:r>
              <w:rPr>
                <w:rFonts w:hint="eastAsia" w:ascii="宋体" w:hAnsi="宋体" w:eastAsia="宋体" w:cs="宋体"/>
                <w:color w:val="000000"/>
                <w:kern w:val="2"/>
                <w:sz w:val="21"/>
                <w:szCs w:val="21"/>
                <w:bdr w:val="none" w:color="auto" w:sz="0" w:space="0"/>
              </w:rPr>
              <w:t>南仁东被中国科学院研究生院录取为天体物理学研究生。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c>
          <w:tcPr>
            <w:tcW w:w="661" w:type="dxa"/>
            <w:vMerge w:val="continue"/>
            <w:tcBorders>
              <w:top w:val="nil"/>
              <w:left w:val="single" w:color="auto" w:sz="8" w:space="0"/>
              <w:bottom w:val="single" w:color="auto" w:sz="8" w:space="0"/>
              <w:right w:val="single" w:color="auto" w:sz="8" w:space="0"/>
            </w:tcBorders>
            <w:shd w:val="clear"/>
            <w:vAlign w:val="bottom"/>
          </w:tcPr>
          <w:p>
            <w:pPr>
              <w:rPr>
                <w:rFonts w:hint="eastAsia" w:ascii="宋体"/>
                <w:sz w:val="24"/>
                <w:szCs w:val="24"/>
              </w:rPr>
            </w:pPr>
          </w:p>
        </w:tc>
        <w:tc>
          <w:tcPr>
            <w:tcW w:w="1577" w:type="dxa"/>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color w:val="000000"/>
                <w:kern w:val="2"/>
                <w:sz w:val="21"/>
                <w:szCs w:val="21"/>
                <w:bdr w:val="none" w:color="auto" w:sz="0" w:space="0"/>
              </w:rPr>
              <w:t>1993年9月</w:t>
            </w:r>
          </w:p>
        </w:tc>
        <w:tc>
          <w:tcPr>
            <w:tcW w:w="5788" w:type="dxa"/>
            <w:gridSpan w:val="4"/>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left"/>
            </w:pPr>
            <w:r>
              <w:rPr>
                <w:rFonts w:hint="eastAsia" w:ascii="宋体" w:hAnsi="宋体" w:eastAsia="宋体" w:cs="宋体"/>
                <w:color w:val="000000"/>
                <w:kern w:val="2"/>
                <w:sz w:val="21"/>
                <w:szCs w:val="21"/>
                <w:bdr w:val="none" w:color="auto" w:sz="0" w:space="0"/>
              </w:rPr>
              <w:t>南仁东向中国科学院提出报告，争取把大望远镜建到中国来。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1" w:type="dxa"/>
            <w:vMerge w:val="continue"/>
            <w:tcBorders>
              <w:top w:val="nil"/>
              <w:left w:val="single" w:color="auto" w:sz="8" w:space="0"/>
              <w:bottom w:val="single" w:color="auto" w:sz="8" w:space="0"/>
              <w:right w:val="single" w:color="auto" w:sz="8" w:space="0"/>
            </w:tcBorders>
            <w:shd w:val="clear"/>
            <w:vAlign w:val="bottom"/>
          </w:tcPr>
          <w:p>
            <w:pPr>
              <w:rPr>
                <w:rFonts w:hint="eastAsia" w:ascii="宋体"/>
                <w:sz w:val="24"/>
                <w:szCs w:val="24"/>
              </w:rPr>
            </w:pPr>
          </w:p>
        </w:tc>
        <w:tc>
          <w:tcPr>
            <w:tcW w:w="1577" w:type="dxa"/>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color w:val="000000"/>
                <w:kern w:val="2"/>
                <w:sz w:val="21"/>
                <w:szCs w:val="21"/>
                <w:bdr w:val="none" w:color="auto" w:sz="0" w:space="0"/>
              </w:rPr>
              <w:t>1994年春夏之交</w:t>
            </w:r>
          </w:p>
        </w:tc>
        <w:tc>
          <w:tcPr>
            <w:tcW w:w="5788" w:type="dxa"/>
            <w:gridSpan w:val="4"/>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left"/>
            </w:pPr>
            <w:r>
              <w:rPr>
                <w:rFonts w:hint="eastAsia" w:ascii="宋体" w:hAnsi="宋体" w:eastAsia="宋体" w:cs="宋体"/>
                <w:color w:val="000000"/>
                <w:kern w:val="2"/>
                <w:sz w:val="21"/>
                <w:szCs w:val="21"/>
                <w:bdr w:val="none" w:color="auto" w:sz="0" w:space="0"/>
              </w:rPr>
              <w:t>南仁东主持大射电望远镜的选址工作。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c>
          <w:tcPr>
            <w:tcW w:w="661" w:type="dxa"/>
            <w:vMerge w:val="continue"/>
            <w:tcBorders>
              <w:top w:val="nil"/>
              <w:left w:val="single" w:color="auto" w:sz="8" w:space="0"/>
              <w:bottom w:val="single" w:color="auto" w:sz="8" w:space="0"/>
              <w:right w:val="single" w:color="auto" w:sz="8" w:space="0"/>
            </w:tcBorders>
            <w:shd w:val="clear"/>
            <w:vAlign w:val="bottom"/>
          </w:tcPr>
          <w:p>
            <w:pPr>
              <w:rPr>
                <w:rFonts w:hint="eastAsia" w:ascii="宋体"/>
                <w:sz w:val="24"/>
                <w:szCs w:val="24"/>
              </w:rPr>
            </w:pPr>
          </w:p>
        </w:tc>
        <w:tc>
          <w:tcPr>
            <w:tcW w:w="1577" w:type="dxa"/>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color w:val="000000"/>
                <w:kern w:val="2"/>
                <w:sz w:val="21"/>
                <w:szCs w:val="21"/>
                <w:bdr w:val="none" w:color="auto" w:sz="0" w:space="0"/>
              </w:rPr>
              <w:t>2007年7月10日</w:t>
            </w:r>
          </w:p>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color w:val="000000"/>
                <w:kern w:val="2"/>
                <w:sz w:val="21"/>
                <w:szCs w:val="21"/>
                <w:bdr w:val="none" w:color="auto" w:sz="0" w:space="0"/>
              </w:rPr>
              <w:t>（62岁）</w:t>
            </w:r>
          </w:p>
        </w:tc>
        <w:tc>
          <w:tcPr>
            <w:tcW w:w="5788" w:type="dxa"/>
            <w:gridSpan w:val="4"/>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left"/>
            </w:pPr>
            <w:r>
              <w:rPr>
                <w:rFonts w:hint="eastAsia" w:ascii="宋体" w:hAnsi="宋体" w:eastAsia="宋体" w:cs="宋体"/>
                <w:color w:val="000000"/>
                <w:kern w:val="2"/>
                <w:sz w:val="21"/>
                <w:szCs w:val="21"/>
                <w:bdr w:val="none" w:color="auto" w:sz="0" w:space="0"/>
              </w:rPr>
              <w:t>国家发展和改革委员会批复正式立项，南仁东勉励团队向宇宙的深处进军。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c>
          <w:tcPr>
            <w:tcW w:w="661" w:type="dxa"/>
            <w:vMerge w:val="continue"/>
            <w:tcBorders>
              <w:top w:val="nil"/>
              <w:left w:val="single" w:color="auto" w:sz="8" w:space="0"/>
              <w:bottom w:val="single" w:color="auto" w:sz="8" w:space="0"/>
              <w:right w:val="single" w:color="auto" w:sz="8" w:space="0"/>
            </w:tcBorders>
            <w:shd w:val="clear"/>
            <w:vAlign w:val="bottom"/>
          </w:tcPr>
          <w:p>
            <w:pPr>
              <w:rPr>
                <w:rFonts w:hint="eastAsia" w:ascii="宋体"/>
                <w:sz w:val="24"/>
                <w:szCs w:val="24"/>
              </w:rPr>
            </w:pPr>
          </w:p>
        </w:tc>
        <w:tc>
          <w:tcPr>
            <w:tcW w:w="1577" w:type="dxa"/>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color w:val="000000"/>
                <w:kern w:val="2"/>
                <w:sz w:val="21"/>
                <w:szCs w:val="21"/>
                <w:bdr w:val="none" w:color="auto" w:sz="0" w:space="0"/>
              </w:rPr>
              <w:t>2011年3月25日</w:t>
            </w:r>
          </w:p>
        </w:tc>
        <w:tc>
          <w:tcPr>
            <w:tcW w:w="5788" w:type="dxa"/>
            <w:gridSpan w:val="4"/>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left"/>
            </w:pPr>
            <w:r>
              <w:rPr>
                <w:rFonts w:hint="eastAsia" w:ascii="宋体" w:hAnsi="宋体" w:eastAsia="宋体" w:cs="宋体"/>
                <w:color w:val="000000"/>
                <w:kern w:val="2"/>
                <w:sz w:val="21"/>
                <w:szCs w:val="21"/>
                <w:bdr w:val="none" w:color="auto" w:sz="0" w:space="0"/>
              </w:rPr>
              <w:t>工程正式开工，南仁东担任首席科学家兼总工程师。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c>
          <w:tcPr>
            <w:tcW w:w="661" w:type="dxa"/>
            <w:vMerge w:val="continue"/>
            <w:tcBorders>
              <w:top w:val="nil"/>
              <w:left w:val="single" w:color="auto" w:sz="8" w:space="0"/>
              <w:bottom w:val="single" w:color="auto" w:sz="8" w:space="0"/>
              <w:right w:val="single" w:color="auto" w:sz="8" w:space="0"/>
            </w:tcBorders>
            <w:shd w:val="clear"/>
            <w:vAlign w:val="bottom"/>
          </w:tcPr>
          <w:p>
            <w:pPr>
              <w:rPr>
                <w:rFonts w:hint="eastAsia" w:ascii="宋体"/>
                <w:sz w:val="24"/>
                <w:szCs w:val="24"/>
              </w:rPr>
            </w:pPr>
          </w:p>
        </w:tc>
        <w:tc>
          <w:tcPr>
            <w:tcW w:w="1577" w:type="dxa"/>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color w:val="000000"/>
                <w:kern w:val="2"/>
                <w:sz w:val="21"/>
                <w:szCs w:val="21"/>
                <w:bdr w:val="none" w:color="auto" w:sz="0" w:space="0"/>
              </w:rPr>
              <w:t>2015年11月21日</w:t>
            </w:r>
          </w:p>
        </w:tc>
        <w:tc>
          <w:tcPr>
            <w:tcW w:w="5788" w:type="dxa"/>
            <w:gridSpan w:val="4"/>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left"/>
            </w:pPr>
            <w:r>
              <w:rPr>
                <w:rFonts w:hint="eastAsia" w:ascii="宋体" w:hAnsi="宋体" w:eastAsia="宋体" w:cs="宋体"/>
                <w:color w:val="000000"/>
                <w:kern w:val="2"/>
                <w:sz w:val="21"/>
                <w:szCs w:val="21"/>
                <w:bdr w:val="none" w:color="auto" w:sz="0" w:space="0"/>
              </w:rPr>
              <w:t>南仁东目睹最核心部件馈源舱成功地在大窝凼的上空升起。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c>
          <w:tcPr>
            <w:tcW w:w="661" w:type="dxa"/>
            <w:vMerge w:val="continue"/>
            <w:tcBorders>
              <w:top w:val="nil"/>
              <w:left w:val="single" w:color="auto" w:sz="8" w:space="0"/>
              <w:bottom w:val="single" w:color="auto" w:sz="8" w:space="0"/>
              <w:right w:val="single" w:color="auto" w:sz="8" w:space="0"/>
            </w:tcBorders>
            <w:shd w:val="clear"/>
            <w:vAlign w:val="bottom"/>
          </w:tcPr>
          <w:p>
            <w:pPr>
              <w:rPr>
                <w:rFonts w:hint="eastAsia" w:ascii="宋体"/>
                <w:sz w:val="24"/>
                <w:szCs w:val="24"/>
              </w:rPr>
            </w:pPr>
          </w:p>
        </w:tc>
        <w:tc>
          <w:tcPr>
            <w:tcW w:w="1577" w:type="dxa"/>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color w:val="000000"/>
                <w:kern w:val="2"/>
                <w:sz w:val="21"/>
                <w:szCs w:val="21"/>
                <w:bdr w:val="none" w:color="auto" w:sz="0" w:space="0"/>
              </w:rPr>
              <w:t>2016年9月25日</w:t>
            </w:r>
          </w:p>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color w:val="000000"/>
                <w:kern w:val="2"/>
                <w:sz w:val="21"/>
                <w:szCs w:val="21"/>
                <w:bdr w:val="none" w:color="auto" w:sz="0" w:space="0"/>
              </w:rPr>
              <w:t>（71岁）</w:t>
            </w:r>
          </w:p>
        </w:tc>
        <w:tc>
          <w:tcPr>
            <w:tcW w:w="5788" w:type="dxa"/>
            <w:gridSpan w:val="4"/>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left"/>
            </w:pPr>
            <w:r>
              <w:rPr>
                <w:rFonts w:hint="eastAsia" w:ascii="宋体" w:hAnsi="宋体" w:eastAsia="宋体" w:cs="宋体"/>
                <w:color w:val="000000"/>
                <w:kern w:val="2"/>
                <w:sz w:val="21"/>
                <w:szCs w:val="21"/>
                <w:bdr w:val="none" w:color="auto" w:sz="0" w:space="0"/>
              </w:rPr>
              <w:t>“中国天眼”正式落成启用。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c>
          <w:tcPr>
            <w:tcW w:w="661" w:type="dxa"/>
            <w:vMerge w:val="continue"/>
            <w:tcBorders>
              <w:top w:val="nil"/>
              <w:left w:val="single" w:color="auto" w:sz="8" w:space="0"/>
              <w:bottom w:val="single" w:color="auto" w:sz="8" w:space="0"/>
              <w:right w:val="single" w:color="auto" w:sz="8" w:space="0"/>
            </w:tcBorders>
            <w:shd w:val="clear"/>
            <w:vAlign w:val="bottom"/>
          </w:tcPr>
          <w:p>
            <w:pPr>
              <w:rPr>
                <w:rFonts w:hint="eastAsia" w:ascii="宋体"/>
                <w:sz w:val="24"/>
                <w:szCs w:val="24"/>
              </w:rPr>
            </w:pPr>
          </w:p>
        </w:tc>
        <w:tc>
          <w:tcPr>
            <w:tcW w:w="1577" w:type="dxa"/>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color w:val="000000"/>
                <w:kern w:val="2"/>
                <w:sz w:val="21"/>
                <w:szCs w:val="21"/>
                <w:bdr w:val="none" w:color="auto" w:sz="0" w:space="0"/>
              </w:rPr>
              <w:t>2017年9月15日</w:t>
            </w:r>
          </w:p>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color w:val="000000"/>
                <w:kern w:val="2"/>
                <w:sz w:val="21"/>
                <w:szCs w:val="21"/>
                <w:bdr w:val="none" w:color="auto" w:sz="0" w:space="0"/>
              </w:rPr>
              <w:t>（72岁）</w:t>
            </w:r>
          </w:p>
        </w:tc>
        <w:tc>
          <w:tcPr>
            <w:tcW w:w="5788" w:type="dxa"/>
            <w:gridSpan w:val="4"/>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left"/>
            </w:pPr>
            <w:r>
              <w:rPr>
                <w:rFonts w:hint="eastAsia" w:ascii="宋体" w:hAnsi="宋体" w:eastAsia="宋体" w:cs="宋体"/>
                <w:color w:val="000000"/>
                <w:kern w:val="2"/>
                <w:sz w:val="21"/>
                <w:szCs w:val="21"/>
                <w:bdr w:val="none" w:color="auto" w:sz="0" w:space="0"/>
              </w:rPr>
              <w:t>南仁东逝世。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1" w:type="dxa"/>
            <w:vMerge w:val="continue"/>
            <w:tcBorders>
              <w:top w:val="nil"/>
              <w:left w:val="single" w:color="auto" w:sz="8" w:space="0"/>
              <w:bottom w:val="single" w:color="auto" w:sz="8" w:space="0"/>
              <w:right w:val="single" w:color="auto" w:sz="8" w:space="0"/>
            </w:tcBorders>
            <w:shd w:val="clear"/>
            <w:vAlign w:val="bottom"/>
          </w:tcPr>
          <w:p>
            <w:pPr>
              <w:rPr>
                <w:rFonts w:hint="eastAsia" w:ascii="宋体"/>
                <w:sz w:val="24"/>
                <w:szCs w:val="24"/>
              </w:rPr>
            </w:pPr>
          </w:p>
        </w:tc>
        <w:tc>
          <w:tcPr>
            <w:tcW w:w="1577" w:type="dxa"/>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center"/>
            </w:pPr>
            <w:r>
              <w:rPr>
                <w:rFonts w:hint="eastAsia" w:ascii="宋体" w:hAnsi="宋体" w:eastAsia="宋体" w:cs="宋体"/>
                <w:color w:val="000000"/>
                <w:kern w:val="2"/>
                <w:sz w:val="21"/>
                <w:szCs w:val="21"/>
                <w:bdr w:val="none" w:color="auto" w:sz="0" w:space="0"/>
              </w:rPr>
              <w:t>2018年10月15日</w:t>
            </w:r>
          </w:p>
        </w:tc>
        <w:tc>
          <w:tcPr>
            <w:tcW w:w="5788" w:type="dxa"/>
            <w:gridSpan w:val="4"/>
            <w:tcBorders>
              <w:top w:val="nil"/>
              <w:left w:val="single" w:color="auto" w:sz="8" w:space="0"/>
              <w:bottom w:val="single" w:color="auto" w:sz="8" w:space="0"/>
              <w:right w:val="single" w:color="auto" w:sz="8" w:space="0"/>
            </w:tcBorders>
            <w:shd w:val="clear"/>
            <w:vAlign w:val="top"/>
          </w:tcPr>
          <w:p>
            <w:pPr>
              <w:pStyle w:val="2"/>
              <w:keepNext w:val="0"/>
              <w:keepLines w:val="0"/>
              <w:widowControl/>
              <w:suppressLineNumbers w:val="0"/>
              <w:tabs>
                <w:tab w:val="center" w:pos="4153"/>
                <w:tab w:val="left" w:pos="5310"/>
              </w:tabs>
              <w:spacing w:line="360" w:lineRule="auto"/>
              <w:jc w:val="left"/>
            </w:pPr>
            <w:r>
              <w:rPr>
                <w:rFonts w:hint="eastAsia" w:ascii="宋体" w:hAnsi="宋体" w:eastAsia="宋体" w:cs="宋体"/>
                <w:color w:val="000000"/>
                <w:kern w:val="2"/>
                <w:sz w:val="21"/>
                <w:szCs w:val="21"/>
                <w:bdr w:val="none" w:color="auto" w:sz="0" w:space="0"/>
              </w:rPr>
              <w:t>经国际天文学联合会小天体命名委员会批准，国际永久编号第79694号的小行星被命名为“南仁东星”。</w:t>
            </w:r>
          </w:p>
        </w:tc>
      </w:tr>
    </w:tbl>
    <w:p>
      <w:pPr>
        <w:pStyle w:val="2"/>
        <w:keepNext w:val="0"/>
        <w:keepLines w:val="0"/>
        <w:widowControl/>
        <w:suppressLineNumbers w:val="0"/>
      </w:pPr>
      <w:r>
        <w:rPr>
          <w:rFonts w:hint="eastAsia" w:ascii="宋体" w:hAnsi="宋体" w:eastAsia="宋体" w:cs="宋体"/>
        </w:rPr>
        <w:t>引导：这篇文章用一根清晰的线索——时间线索，把南仁东的一生串联了起来。这些年份及年龄的交代，体现传记作品什么特点呢？</w:t>
      </w:r>
    </w:p>
    <w:p>
      <w:pPr>
        <w:pStyle w:val="2"/>
        <w:keepNext w:val="0"/>
        <w:keepLines w:val="0"/>
        <w:widowControl/>
        <w:suppressLineNumbers w:val="0"/>
      </w:pPr>
      <w:r>
        <w:rPr>
          <w:rFonts w:hint="eastAsia" w:ascii="宋体" w:hAnsi="宋体" w:eastAsia="宋体" w:cs="宋体"/>
        </w:rPr>
        <w:t>预设：真实性。</w:t>
      </w:r>
    </w:p>
    <w:p>
      <w:pPr>
        <w:pStyle w:val="2"/>
        <w:keepNext w:val="0"/>
        <w:keepLines w:val="0"/>
        <w:widowControl/>
        <w:suppressLineNumbers w:val="0"/>
      </w:pPr>
      <w:r>
        <w:rPr>
          <w:rFonts w:hint="eastAsia" w:ascii="宋体" w:hAnsi="宋体" w:eastAsia="宋体" w:cs="宋体"/>
        </w:rPr>
        <w:t>小结：作者选取了南仁东人生中的多个重要阶段，用概括式的叙述真实呈现了他的人生经历，表现了南仁东为“中国天眼”建成付出的努力，带给我们更深刻的感受。</w:t>
      </w:r>
    </w:p>
    <w:p>
      <w:pPr>
        <w:pStyle w:val="2"/>
        <w:keepNext w:val="0"/>
        <w:keepLines w:val="0"/>
        <w:widowControl/>
        <w:suppressLineNumbers w:val="0"/>
      </w:pPr>
      <w:r>
        <w:rPr>
          <w:rFonts w:hint="eastAsia" w:ascii="宋体" w:hAnsi="宋体" w:eastAsia="宋体" w:cs="宋体"/>
          <w:b/>
          <w:bCs w:val="0"/>
        </w:rPr>
        <w:t>设计意图</w:t>
      </w:r>
      <w:r>
        <w:rPr>
          <w:rFonts w:hint="eastAsia" w:ascii="宋体" w:hAnsi="宋体" w:eastAsia="宋体" w:cs="宋体"/>
        </w:rPr>
        <w:t>：本环节旨在通过勾画文中年份或人物年龄的词句，梳理南仁东的人生经历，帮助学生更好地理解文章内容，并训练学生获取信息和归纳信息的能力。</w:t>
      </w:r>
    </w:p>
    <w:p>
      <w:pPr>
        <w:pStyle w:val="2"/>
        <w:keepNext w:val="0"/>
        <w:keepLines w:val="0"/>
        <w:widowControl/>
        <w:suppressLineNumbers w:val="0"/>
      </w:pPr>
      <w:r>
        <w:rPr>
          <w:rFonts w:hint="eastAsia" w:ascii="宋体" w:hAnsi="宋体" w:eastAsia="宋体" w:cs="宋体"/>
          <w:b/>
          <w:bCs w:val="0"/>
        </w:rPr>
        <w:t>（三）活动任务三</w:t>
      </w:r>
    </w:p>
    <w:p>
      <w:pPr>
        <w:pStyle w:val="2"/>
        <w:keepNext w:val="0"/>
        <w:keepLines w:val="0"/>
        <w:widowControl/>
        <w:suppressLineNumbers w:val="0"/>
      </w:pPr>
      <w:r>
        <w:rPr>
          <w:rFonts w:hint="eastAsia" w:ascii="宋体" w:hAnsi="宋体" w:eastAsia="宋体" w:cs="宋体"/>
        </w:rPr>
        <w:t>过渡：人物传记，不单单能够真实地展现人物的事迹，还通过生动的描写展现人物的精神和情感。下面我们结合具体的内容，多角度体会人物形象吧。</w:t>
      </w:r>
    </w:p>
    <w:p>
      <w:pPr>
        <w:pStyle w:val="2"/>
        <w:keepNext w:val="0"/>
        <w:keepLines w:val="0"/>
        <w:widowControl/>
        <w:suppressLineNumbers w:val="0"/>
      </w:pPr>
      <w:r>
        <w:rPr>
          <w:b/>
          <w:bCs w:val="0"/>
        </w:rPr>
        <w:t>1.</w:t>
      </w:r>
      <w:r>
        <w:rPr>
          <w:rFonts w:hint="eastAsia" w:ascii="宋体" w:hAnsi="宋体" w:eastAsia="宋体" w:cs="宋体"/>
          <w:b/>
          <w:bCs w:val="0"/>
        </w:rPr>
        <w:t>发布任务</w:t>
      </w:r>
    </w:p>
    <w:p>
      <w:pPr>
        <w:pStyle w:val="2"/>
        <w:keepNext w:val="0"/>
        <w:keepLines w:val="0"/>
        <w:widowControl/>
        <w:suppressLineNumbers w:val="0"/>
      </w:pPr>
      <w:r>
        <w:rPr>
          <w:rFonts w:hint="eastAsia" w:ascii="宋体" w:hAnsi="宋体" w:eastAsia="宋体" w:cs="宋体"/>
        </w:rPr>
        <w:t>浏览全文，结合课文旁批和具体内容，分析人物形象。</w:t>
      </w:r>
    </w:p>
    <w:p>
      <w:pPr>
        <w:pStyle w:val="2"/>
        <w:keepNext w:val="0"/>
        <w:keepLines w:val="0"/>
        <w:widowControl/>
        <w:suppressLineNumbers w:val="0"/>
      </w:pPr>
      <w:r>
        <w:rPr>
          <w:rFonts w:hint="eastAsia" w:ascii="宋体" w:hAnsi="宋体" w:eastAsia="宋体" w:cs="宋体"/>
        </w:rPr>
        <w:t>提示：可以从人物描写、环境描写、表现手法（对比、侧面描写等）等角度分析。</w:t>
      </w:r>
    </w:p>
    <w:p>
      <w:pPr>
        <w:pStyle w:val="2"/>
        <w:keepNext w:val="0"/>
        <w:keepLines w:val="0"/>
        <w:widowControl/>
        <w:suppressLineNumbers w:val="0"/>
      </w:pPr>
      <w:r>
        <w:rPr>
          <w:rFonts w:hint="eastAsia" w:ascii="宋体" w:hAnsi="宋体" w:eastAsia="宋体" w:cs="宋体"/>
          <w:b/>
          <w:bCs w:val="0"/>
        </w:rPr>
        <w:t>2</w:t>
      </w:r>
      <w:r>
        <w:rPr>
          <w:b/>
          <w:bCs w:val="0"/>
        </w:rPr>
        <w:t>.</w:t>
      </w:r>
      <w:r>
        <w:rPr>
          <w:rFonts w:hint="eastAsia" w:ascii="宋体" w:hAnsi="宋体" w:eastAsia="宋体" w:cs="宋体"/>
          <w:b/>
          <w:bCs w:val="0"/>
        </w:rPr>
        <w:t>活动安排</w:t>
      </w:r>
    </w:p>
    <w:p>
      <w:pPr>
        <w:pStyle w:val="2"/>
        <w:keepNext w:val="0"/>
        <w:keepLines w:val="0"/>
        <w:widowControl/>
        <w:suppressLineNumbers w:val="0"/>
      </w:pPr>
      <w:r>
        <w:rPr>
          <w:rFonts w:hint="eastAsia" w:ascii="宋体" w:hAnsi="宋体" w:eastAsia="宋体" w:cs="宋体"/>
        </w:rPr>
        <w:t>（1）浏览全文，结合课文旁批，勾画出具体描写的语句，简要分析人物形象。</w:t>
      </w:r>
    </w:p>
    <w:p>
      <w:pPr>
        <w:pStyle w:val="2"/>
        <w:keepNext w:val="0"/>
        <w:keepLines w:val="0"/>
        <w:widowControl/>
        <w:suppressLineNumbers w:val="0"/>
      </w:pPr>
      <w:r>
        <w:rPr>
          <w:rFonts w:hint="eastAsia" w:ascii="宋体" w:hAnsi="宋体" w:eastAsia="宋体" w:cs="宋体"/>
        </w:rPr>
        <w:t>（2）独立思考后，小组内交流分享探究成果，总结人物的精神品质。</w:t>
      </w:r>
    </w:p>
    <w:p>
      <w:pPr>
        <w:pStyle w:val="2"/>
        <w:keepNext w:val="0"/>
        <w:keepLines w:val="0"/>
        <w:widowControl/>
        <w:suppressLineNumbers w:val="0"/>
      </w:pPr>
      <w:r>
        <w:rPr>
          <w:rFonts w:hint="eastAsia" w:ascii="宋体" w:hAnsi="宋体" w:eastAsia="宋体" w:cs="宋体"/>
        </w:rPr>
        <w:t>（3）小组派代表分享结论，教师相机引导、归纳、总结。</w:t>
      </w:r>
    </w:p>
    <w:p>
      <w:pPr>
        <w:pStyle w:val="2"/>
        <w:keepNext w:val="0"/>
        <w:keepLines w:val="0"/>
        <w:widowControl/>
        <w:suppressLineNumbers w:val="0"/>
      </w:pPr>
      <w:r>
        <w:rPr>
          <w:b/>
          <w:bCs w:val="0"/>
        </w:rPr>
        <w:t>3.成果展示</w:t>
      </w:r>
    </w:p>
    <w:p>
      <w:pPr>
        <w:pStyle w:val="2"/>
        <w:keepNext w:val="0"/>
        <w:keepLines w:val="0"/>
        <w:widowControl/>
        <w:suppressLineNumbers w:val="0"/>
      </w:pPr>
      <w:r>
        <w:rPr>
          <w:rFonts w:hint="eastAsia" w:ascii="宋体" w:hAnsi="宋体" w:eastAsia="宋体" w:cs="宋体"/>
          <w:sz w:val="21"/>
          <w:szCs w:val="21"/>
        </w:rPr>
        <w:t>展示学生探究成果，教师相机指导。</w:t>
      </w:r>
    </w:p>
    <w:p>
      <w:pPr>
        <w:pStyle w:val="2"/>
        <w:keepNext w:val="0"/>
        <w:keepLines w:val="0"/>
        <w:widowControl/>
        <w:suppressLineNumbers w:val="0"/>
      </w:pPr>
      <w:r>
        <w:t>（1）</w:t>
      </w:r>
      <w:r>
        <w:rPr>
          <w:rFonts w:hint="eastAsia" w:ascii="宋体" w:hAnsi="宋体" w:eastAsia="宋体" w:cs="宋体"/>
          <w:sz w:val="21"/>
          <w:szCs w:val="21"/>
        </w:rPr>
        <w:t>人物描写角度</w:t>
      </w:r>
    </w:p>
    <w:p>
      <w:pPr>
        <w:pStyle w:val="2"/>
        <w:keepNext w:val="0"/>
        <w:keepLines w:val="0"/>
        <w:widowControl/>
        <w:suppressLineNumbers w:val="0"/>
      </w:pPr>
      <w:r>
        <w:rPr>
          <w:rFonts w:hint="eastAsia" w:ascii="宋体" w:hAnsi="宋体" w:eastAsia="宋体" w:cs="宋体"/>
          <w:sz w:val="21"/>
          <w:szCs w:val="21"/>
        </w:rPr>
        <w:t>预设1：</w:t>
      </w:r>
      <w:r>
        <w:rPr>
          <w:rFonts w:hint="eastAsia" w:ascii="楷体" w:hAnsi="楷体" w:eastAsia="楷体" w:cs="楷体"/>
          <w:sz w:val="21"/>
          <w:szCs w:val="21"/>
        </w:rPr>
        <w:t>“南半球看到的星星，跟我们看到的一样吗？”</w:t>
      </w:r>
    </w:p>
    <w:p>
      <w:pPr>
        <w:pStyle w:val="2"/>
        <w:keepNext w:val="0"/>
        <w:keepLines w:val="0"/>
        <w:widowControl/>
        <w:suppressLineNumbers w:val="0"/>
      </w:pPr>
      <w:r>
        <w:rPr>
          <w:rFonts w:hint="eastAsia" w:ascii="宋体" w:hAnsi="宋体" w:eastAsia="宋体" w:cs="宋体"/>
          <w:sz w:val="21"/>
          <w:szCs w:val="21"/>
        </w:rPr>
        <w:t>语言描写。表现了南仁东对天文学有浓厚的兴趣和求知欲。</w:t>
      </w:r>
    </w:p>
    <w:p>
      <w:pPr>
        <w:pStyle w:val="2"/>
        <w:keepNext w:val="0"/>
        <w:keepLines w:val="0"/>
        <w:widowControl/>
        <w:suppressLineNumbers w:val="0"/>
      </w:pPr>
      <w:r>
        <w:rPr>
          <w:rFonts w:hint="eastAsia" w:ascii="宋体" w:hAnsi="宋体" w:eastAsia="宋体" w:cs="宋体"/>
          <w:sz w:val="21"/>
          <w:szCs w:val="21"/>
        </w:rPr>
        <w:t>预设2：</w:t>
      </w:r>
      <w:r>
        <w:rPr>
          <w:rFonts w:hint="eastAsia" w:ascii="楷体" w:hAnsi="楷体" w:eastAsia="楷体" w:cs="楷体"/>
          <w:sz w:val="21"/>
          <w:szCs w:val="21"/>
        </w:rPr>
        <w:t>“这是个必须抓住的机会。”“要争取把这个大望远镜建到中国来。”</w:t>
      </w:r>
    </w:p>
    <w:p>
      <w:pPr>
        <w:pStyle w:val="2"/>
        <w:keepNext w:val="0"/>
        <w:keepLines w:val="0"/>
        <w:widowControl/>
        <w:suppressLineNumbers w:val="0"/>
      </w:pPr>
      <w:r>
        <w:rPr>
          <w:rFonts w:hint="eastAsia" w:ascii="宋体" w:hAnsi="宋体" w:eastAsia="宋体" w:cs="宋体"/>
          <w:sz w:val="21"/>
          <w:szCs w:val="21"/>
        </w:rPr>
        <w:t>语言描写。“必须抓住”，看出他对建成中国自己的“大射电望远镜”坚定的决心和强烈的愿望。</w:t>
      </w:r>
    </w:p>
    <w:p>
      <w:pPr>
        <w:pStyle w:val="2"/>
        <w:keepNext w:val="0"/>
        <w:keepLines w:val="0"/>
        <w:widowControl/>
        <w:suppressLineNumbers w:val="0"/>
      </w:pPr>
      <w:r>
        <w:rPr>
          <w:rFonts w:hint="eastAsia" w:ascii="宋体" w:hAnsi="宋体" w:eastAsia="宋体" w:cs="宋体"/>
          <w:sz w:val="21"/>
          <w:szCs w:val="21"/>
        </w:rPr>
        <w:t>预设3：</w:t>
      </w:r>
      <w:r>
        <w:rPr>
          <w:rFonts w:hint="eastAsia" w:ascii="楷体" w:hAnsi="楷体" w:eastAsia="楷体" w:cs="楷体"/>
          <w:sz w:val="21"/>
          <w:szCs w:val="21"/>
        </w:rPr>
        <w:t>“正因为落后，才要奋起。”</w:t>
      </w:r>
    </w:p>
    <w:p>
      <w:pPr>
        <w:pStyle w:val="2"/>
        <w:keepNext w:val="0"/>
        <w:keepLines w:val="0"/>
        <w:widowControl/>
        <w:suppressLineNumbers w:val="0"/>
      </w:pPr>
      <w:r>
        <w:rPr>
          <w:rFonts w:hint="eastAsia" w:ascii="宋体" w:hAnsi="宋体" w:eastAsia="宋体" w:cs="宋体"/>
          <w:sz w:val="21"/>
          <w:szCs w:val="21"/>
        </w:rPr>
        <w:t>语言描写。外国专家质疑中国独立建造500米口径球面射电望远镜的实力，南仁东说：“正因为落后，才要奋起。”可以看出他面对困难和挑战时的积极态度和战胜困难的决心，坚持自己的理想，永不服输，以及展现出的爱国情怀。</w:t>
      </w:r>
    </w:p>
    <w:p>
      <w:pPr>
        <w:pStyle w:val="2"/>
        <w:keepNext w:val="0"/>
        <w:keepLines w:val="0"/>
        <w:widowControl/>
        <w:suppressLineNumbers w:val="0"/>
      </w:pPr>
      <w:r>
        <w:rPr>
          <w:rFonts w:hint="eastAsia" w:ascii="宋体" w:hAnsi="宋体" w:eastAsia="宋体" w:cs="宋体"/>
          <w:sz w:val="21"/>
          <w:szCs w:val="21"/>
        </w:rPr>
        <w:t>预设4：</w:t>
      </w:r>
      <w:r>
        <w:rPr>
          <w:rFonts w:hint="eastAsia" w:ascii="楷体" w:hAnsi="楷体" w:eastAsia="楷体" w:cs="楷体"/>
          <w:sz w:val="21"/>
          <w:szCs w:val="21"/>
        </w:rPr>
        <w:t>“我们只是刚刚出发，但是，我们正向宇宙的深处进军。”</w:t>
      </w:r>
    </w:p>
    <w:p>
      <w:pPr>
        <w:pStyle w:val="2"/>
        <w:keepNext w:val="0"/>
        <w:keepLines w:val="0"/>
        <w:widowControl/>
        <w:suppressLineNumbers w:val="0"/>
      </w:pPr>
      <w:r>
        <w:rPr>
          <w:rFonts w:hint="eastAsia" w:ascii="宋体" w:hAnsi="宋体" w:eastAsia="宋体" w:cs="宋体"/>
          <w:sz w:val="21"/>
          <w:szCs w:val="21"/>
        </w:rPr>
        <w:t>语言描写。展现了他在工作中不断探索，对科学事业的责任感。</w:t>
      </w:r>
    </w:p>
    <w:p>
      <w:pPr>
        <w:pStyle w:val="2"/>
        <w:keepNext w:val="0"/>
        <w:keepLines w:val="0"/>
        <w:widowControl/>
        <w:suppressLineNumbers w:val="0"/>
      </w:pPr>
      <w:r>
        <w:rPr>
          <w:rFonts w:hint="eastAsia" w:ascii="宋体" w:hAnsi="宋体" w:eastAsia="宋体" w:cs="宋体"/>
          <w:sz w:val="21"/>
          <w:szCs w:val="21"/>
        </w:rPr>
        <w:t>预设5：</w:t>
      </w:r>
      <w:r>
        <w:rPr>
          <w:rFonts w:hint="eastAsia" w:ascii="楷体" w:hAnsi="楷体" w:eastAsia="楷体" w:cs="楷体"/>
          <w:sz w:val="21"/>
          <w:szCs w:val="21"/>
        </w:rPr>
        <w:t>那些日子，南老师的头发，每一根头发都是竖着的。</w:t>
      </w:r>
    </w:p>
    <w:p>
      <w:pPr>
        <w:pStyle w:val="2"/>
        <w:keepNext w:val="0"/>
        <w:keepLines w:val="0"/>
        <w:widowControl/>
        <w:suppressLineNumbers w:val="0"/>
      </w:pPr>
      <w:r>
        <w:rPr>
          <w:rFonts w:hint="eastAsia" w:ascii="宋体" w:hAnsi="宋体" w:eastAsia="宋体" w:cs="宋体"/>
          <w:sz w:val="21"/>
          <w:szCs w:val="21"/>
        </w:rPr>
        <w:t>外貌描写。通过学生的语言侧面表现南仁东顾不得打扮自己，一心扑在事业上的敬业精神。</w:t>
      </w:r>
    </w:p>
    <w:p>
      <w:pPr>
        <w:pStyle w:val="2"/>
        <w:keepNext w:val="0"/>
        <w:keepLines w:val="0"/>
        <w:widowControl/>
        <w:suppressLineNumbers w:val="0"/>
      </w:pPr>
      <w:r>
        <w:rPr>
          <w:rFonts w:hint="eastAsia" w:ascii="宋体" w:hAnsi="宋体" w:eastAsia="宋体" w:cs="宋体"/>
          <w:sz w:val="21"/>
          <w:szCs w:val="21"/>
        </w:rPr>
        <w:t>预设6：</w:t>
      </w:r>
      <w:r>
        <w:rPr>
          <w:rFonts w:hint="eastAsia" w:ascii="楷体" w:hAnsi="楷体" w:eastAsia="楷体" w:cs="楷体"/>
          <w:sz w:val="21"/>
          <w:szCs w:val="21"/>
        </w:rPr>
        <w:t>当他举起右手遮在安全帽前，仿佛是在向银光闪闪的馈源舱敬礼。阳光照在他仰起的脸上，他那从青年时就蓄起的胡子已经花白了，而耗费了他无数心血的观天巨眼也终于快要“开眼”了。</w:t>
      </w:r>
    </w:p>
    <w:p>
      <w:pPr>
        <w:pStyle w:val="2"/>
        <w:keepNext w:val="0"/>
        <w:keepLines w:val="0"/>
        <w:widowControl/>
        <w:suppressLineNumbers w:val="0"/>
      </w:pPr>
      <w:r>
        <w:rPr>
          <w:rFonts w:hint="eastAsia" w:ascii="宋体" w:hAnsi="宋体" w:eastAsia="宋体" w:cs="宋体"/>
          <w:sz w:val="21"/>
          <w:szCs w:val="21"/>
        </w:rPr>
        <w:t>“举起右手遮在安全帽前”运用了动作描写，南仁东的这一动作象征着他对馈源舱所代表的科学成就的敬意，也表达了他对团队多年努力的肯定和对未来的期待。“胡子已经花白了”运用了外貌描写，暗示了南仁东为科学事业付出的漫长岁月和巨大心血。</w:t>
      </w:r>
    </w:p>
    <w:p>
      <w:pPr>
        <w:pStyle w:val="2"/>
        <w:keepNext w:val="0"/>
        <w:keepLines w:val="0"/>
        <w:widowControl/>
        <w:suppressLineNumbers w:val="0"/>
      </w:pPr>
      <w:r>
        <w:rPr>
          <w:rFonts w:hint="eastAsia" w:ascii="宋体" w:hAnsi="宋体" w:eastAsia="宋体" w:cs="宋体"/>
          <w:sz w:val="21"/>
          <w:szCs w:val="21"/>
        </w:rPr>
        <w:t>预设7：</w:t>
      </w:r>
      <w:r>
        <w:rPr>
          <w:rFonts w:hint="eastAsia" w:ascii="楷体" w:hAnsi="楷体" w:eastAsia="楷体" w:cs="楷体"/>
          <w:sz w:val="21"/>
          <w:szCs w:val="21"/>
        </w:rPr>
        <w:t>“我们没有退路，我们一定要冲出去!”</w:t>
      </w:r>
    </w:p>
    <w:p>
      <w:pPr>
        <w:pStyle w:val="2"/>
        <w:keepNext w:val="0"/>
        <w:keepLines w:val="0"/>
        <w:widowControl/>
        <w:suppressLineNumbers w:val="0"/>
      </w:pPr>
      <w:r>
        <w:rPr>
          <w:rFonts w:hint="eastAsia" w:ascii="宋体" w:hAnsi="宋体" w:eastAsia="宋体" w:cs="宋体"/>
          <w:sz w:val="21"/>
          <w:szCs w:val="21"/>
        </w:rPr>
        <w:t>语言描写。他在回北京救治前对工程放心不下，“一定”“要冲出去！”是对学生的殷殷嘱托，更是对科学事业的高度责任感，也表现了南仁东勇往直前，坚定执着的精神。</w:t>
      </w:r>
    </w:p>
    <w:p>
      <w:pPr>
        <w:pStyle w:val="2"/>
        <w:keepNext w:val="0"/>
        <w:keepLines w:val="0"/>
        <w:widowControl/>
        <w:suppressLineNumbers w:val="0"/>
      </w:pPr>
      <w:r>
        <w:rPr>
          <w:rFonts w:hint="eastAsia" w:ascii="宋体" w:hAnsi="宋体" w:eastAsia="宋体" w:cs="宋体"/>
          <w:sz w:val="21"/>
          <w:szCs w:val="21"/>
        </w:rPr>
        <w:t>预设8：</w:t>
      </w:r>
      <w:r>
        <w:rPr>
          <w:rFonts w:hint="eastAsia" w:ascii="楷体" w:hAnsi="楷体" w:eastAsia="楷体" w:cs="楷体"/>
          <w:sz w:val="21"/>
          <w:szCs w:val="21"/>
        </w:rPr>
        <w:t>“让我自己过去看。”</w:t>
      </w:r>
    </w:p>
    <w:p>
      <w:pPr>
        <w:pStyle w:val="2"/>
        <w:keepNext w:val="0"/>
        <w:keepLines w:val="0"/>
        <w:widowControl/>
        <w:suppressLineNumbers w:val="0"/>
      </w:pPr>
      <w:r>
        <w:rPr>
          <w:rFonts w:hint="eastAsia" w:ascii="宋体" w:hAnsi="宋体" w:eastAsia="宋体" w:cs="宋体"/>
          <w:sz w:val="21"/>
          <w:szCs w:val="21"/>
        </w:rPr>
        <w:t>语言描写。“中国天眼”是南仁东提出并亲自带领大家修建成的，这里有他的汗水和泪水；“中国天眼”的落成启用，标志着我国天文学乃至整个基础科学的研究水平在世界上处于领先地位；“中国天眼”是世界上最大的望远镜，也是地球上的伟大建筑，是中国人民“自力更生，奋发图强”的结果。南仁东对“中国天眼”的关注、关心，体现了他对事业的爱，对祖国天文事业的热爱与责任担当。</w:t>
      </w:r>
    </w:p>
    <w:p>
      <w:pPr>
        <w:pStyle w:val="2"/>
        <w:keepNext w:val="0"/>
        <w:keepLines w:val="0"/>
        <w:widowControl/>
        <w:suppressLineNumbers w:val="0"/>
      </w:pPr>
      <w:r>
        <w:rPr>
          <w:rFonts w:hint="eastAsia" w:ascii="宋体" w:hAnsi="宋体" w:eastAsia="宋体" w:cs="宋体"/>
          <w:sz w:val="21"/>
          <w:szCs w:val="21"/>
        </w:rPr>
        <w:t>预设9：</w:t>
      </w:r>
      <w:r>
        <w:rPr>
          <w:rFonts w:hint="eastAsia" w:ascii="楷体" w:hAnsi="楷体" w:eastAsia="楷体" w:cs="楷体"/>
          <w:sz w:val="21"/>
          <w:szCs w:val="21"/>
        </w:rPr>
        <w:t>他的同事和学生看到他双手扶在“天眼”圈梁的栏杆上，俯身朝下……他的串串泪珠滴下来，从高高的圈梁上落向那金光闪闪的望远镜……</w:t>
      </w:r>
    </w:p>
    <w:p>
      <w:pPr>
        <w:pStyle w:val="2"/>
        <w:keepNext w:val="0"/>
        <w:keepLines w:val="0"/>
        <w:widowControl/>
        <w:suppressLineNumbers w:val="0"/>
      </w:pPr>
      <w:r>
        <w:rPr>
          <w:rFonts w:hint="eastAsia" w:ascii="宋体" w:hAnsi="宋体" w:eastAsia="宋体" w:cs="宋体"/>
          <w:sz w:val="21"/>
          <w:szCs w:val="21"/>
        </w:rPr>
        <w:t>动作和神态描写。“串串泪珠”这是突破重重难关终于取得成功的泪水，表现了南仁东对“中国天眼”的建成的无限喜悦与激动。</w:t>
      </w:r>
    </w:p>
    <w:p>
      <w:pPr>
        <w:pStyle w:val="2"/>
        <w:keepNext w:val="0"/>
        <w:keepLines w:val="0"/>
        <w:widowControl/>
        <w:suppressLineNumbers w:val="0"/>
      </w:pPr>
      <w:r>
        <w:rPr>
          <w:rFonts w:hint="eastAsia" w:ascii="宋体" w:hAnsi="宋体" w:eastAsia="宋体" w:cs="宋体"/>
          <w:color w:val="000000"/>
          <w:kern w:val="2"/>
          <w:sz w:val="21"/>
          <w:szCs w:val="21"/>
        </w:rPr>
        <w:t>（2）</w:t>
      </w:r>
      <w:r>
        <w:rPr>
          <w:rFonts w:hint="eastAsia" w:ascii="宋体" w:hAnsi="宋体" w:eastAsia="宋体" w:cs="宋体"/>
        </w:rPr>
        <w:t>环境描写角度</w:t>
      </w:r>
    </w:p>
    <w:p>
      <w:pPr>
        <w:pStyle w:val="2"/>
        <w:keepNext w:val="0"/>
        <w:keepLines w:val="0"/>
        <w:widowControl/>
        <w:suppressLineNumbers w:val="0"/>
      </w:pPr>
      <w:r>
        <w:rPr>
          <w:rFonts w:hint="eastAsia" w:ascii="宋体" w:hAnsi="宋体" w:eastAsia="宋体" w:cs="宋体"/>
          <w:sz w:val="21"/>
          <w:szCs w:val="21"/>
        </w:rPr>
        <w:t>预设</w:t>
      </w:r>
      <w:r>
        <w:rPr>
          <w:rFonts w:hint="eastAsia" w:ascii="楷体" w:hAnsi="楷体" w:eastAsia="楷体" w:cs="楷体"/>
          <w:sz w:val="21"/>
          <w:szCs w:val="21"/>
        </w:rPr>
        <w:t>：贵州的清晨和黄昏，寒冬和酷暑，烈日和细雨，见证了南仁东不肯放弃的脚步。到处都是高差巨大的山体，典型的熔岩地貌，弯弯曲曲的石阶。河谷幽深，湍急的河水在两山之间的绳索桥下咆哮。解放鞋、雨衣、柴刀、拐杖，是永远的装备。万山深处，只能靠走。无路的地方，要用柴刀在丛林中劈出一条路来，没有山民的帮助是进不去的。夜宿山乡，点起簧火，南仁东和同事们坐在火堆边仰望星空。</w:t>
      </w:r>
    </w:p>
    <w:p>
      <w:pPr>
        <w:pStyle w:val="2"/>
        <w:keepNext w:val="0"/>
        <w:keepLines w:val="0"/>
        <w:widowControl/>
        <w:suppressLineNumbers w:val="0"/>
      </w:pPr>
      <w:r>
        <w:rPr>
          <w:rFonts w:hint="eastAsia" w:ascii="宋体" w:hAnsi="宋体" w:eastAsia="宋体" w:cs="宋体"/>
        </w:rPr>
        <w:t>运用环境描写，写出了南仁东以及整个团队工作的险峻条件</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姚体">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FC515A"/>
    <w:rsid w:val="04FC51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2025-09-05T00:56:00Z</dcterms:created>
  <dc:creator>Administrator</dc:creator>
  <cp:lastModifiedBy>Administrator</cp:lastModifiedBy>
  <dcterms:modified xsi:type="dcterms:W3CDTF">2025-09-05T00:56:41Z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